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rPr>
        <w:t>太平财产保险有限公司个人客户信息处理规则</w:t>
      </w:r>
    </w:p>
    <w:p/>
    <w:p>
      <w:pPr>
        <w:spacing w:line="360" w:lineRule="auto"/>
        <w:rPr>
          <w:sz w:val="24"/>
        </w:rPr>
      </w:pPr>
      <w:r>
        <w:rPr>
          <w:rFonts w:hint="eastAsia"/>
          <w:sz w:val="24"/>
        </w:rPr>
        <w:t>尊敬的客户：</w:t>
      </w:r>
    </w:p>
    <w:p>
      <w:pPr>
        <w:spacing w:line="360" w:lineRule="auto"/>
        <w:ind w:firstLine="480" w:firstLineChars="200"/>
        <w:rPr>
          <w:sz w:val="24"/>
        </w:rPr>
      </w:pPr>
      <w:r>
        <w:rPr>
          <w:rFonts w:hint="eastAsia"/>
          <w:sz w:val="24"/>
        </w:rPr>
        <w:t>您好！</w:t>
      </w:r>
    </w:p>
    <w:p>
      <w:pPr>
        <w:spacing w:line="360" w:lineRule="auto"/>
        <w:ind w:firstLine="480" w:firstLineChars="200"/>
        <w:rPr>
          <w:sz w:val="24"/>
        </w:rPr>
      </w:pPr>
      <w:r>
        <w:rPr>
          <w:rFonts w:hint="eastAsia"/>
          <w:sz w:val="24"/>
        </w:rPr>
        <w:t>根据《中华人民共和国民法典》《中华人民共和国个人信息保护法》《中华人民共和国保险法》等相关法律法规规定，太平财产保险有限公司（以下称“太平财险”）向您告知《太平财产保险有限公司个人客户信息处理规则》（以下简称“处理规则”），以下内容涉及您的切身利益，请您认真阅读。如有不清楚的地方请随时联系为您提供服务的太平财险工作人员，或直接拨打95589服务热线，将有工作人员为您解答。</w:t>
      </w:r>
    </w:p>
    <w:p>
      <w:pPr>
        <w:spacing w:line="360" w:lineRule="auto"/>
        <w:ind w:firstLine="482" w:firstLineChars="200"/>
        <w:rPr>
          <w:b/>
          <w:bCs/>
          <w:sz w:val="24"/>
        </w:rPr>
      </w:pPr>
      <w:r>
        <w:rPr>
          <w:rFonts w:hint="eastAsia"/>
          <w:b/>
          <w:bCs/>
          <w:sz w:val="24"/>
        </w:rPr>
        <w:t>一、个人信息处理者名称和联系方式</w:t>
      </w:r>
    </w:p>
    <w:p>
      <w:pPr>
        <w:spacing w:line="360" w:lineRule="auto"/>
        <w:ind w:firstLine="480" w:firstLineChars="200"/>
        <w:rPr>
          <w:sz w:val="24"/>
        </w:rPr>
      </w:pPr>
      <w:r>
        <w:rPr>
          <w:rFonts w:hint="eastAsia"/>
          <w:sz w:val="24"/>
        </w:rPr>
        <w:t>您的个人信息可能会被以下信息处理者处理：太平财产保险有限公司（以下简称“太平财险”）、太平财产保险有限公司服务供应商（以下简称“太平财险供应商”）、中国太平保险集团有限责任公司（以下简称“太平集团”）、中国太平保险集团有限责任公司直接或间接控股的公司（包括太平人寿保险有限公司、太平养老保险股份有限公司等，以下简称“太平集团控股公司”）。</w:t>
      </w:r>
    </w:p>
    <w:p>
      <w:pPr>
        <w:spacing w:line="360" w:lineRule="auto"/>
        <w:ind w:firstLine="480" w:firstLineChars="200"/>
        <w:rPr>
          <w:sz w:val="24"/>
        </w:rPr>
      </w:pPr>
      <w:r>
        <w:rPr>
          <w:rFonts w:hint="eastAsia"/>
          <w:sz w:val="24"/>
        </w:rPr>
        <w:t>以上信息处理者的联系方式为：95589</w:t>
      </w:r>
    </w:p>
    <w:p>
      <w:pPr>
        <w:spacing w:line="360" w:lineRule="auto"/>
        <w:ind w:firstLine="482" w:firstLineChars="200"/>
        <w:rPr>
          <w:b/>
          <w:bCs/>
          <w:sz w:val="24"/>
        </w:rPr>
      </w:pPr>
      <w:r>
        <w:rPr>
          <w:rFonts w:hint="eastAsia"/>
          <w:b/>
          <w:bCs/>
          <w:sz w:val="24"/>
        </w:rPr>
        <w:t>二、处理的个人信息种类</w:t>
      </w:r>
    </w:p>
    <w:p>
      <w:pPr>
        <w:spacing w:line="360" w:lineRule="auto"/>
        <w:ind w:firstLine="480" w:firstLineChars="200"/>
        <w:rPr>
          <w:sz w:val="24"/>
        </w:rPr>
      </w:pPr>
      <w:r>
        <w:rPr>
          <w:rFonts w:hint="eastAsia"/>
          <w:sz w:val="24"/>
        </w:rPr>
        <w:t>根据《个人信息保护法》的规定，您的个人信息分为：普通个人信息和敏感个人信息。您的普通个人信息包括：姓名、身份证件信息、国籍、职业、联系地址与联系方式等。您的敏感个人信息包括：生物识别、特定身份、医疗健康、金融账户、行踪轨迹。</w:t>
      </w:r>
    </w:p>
    <w:p>
      <w:pPr>
        <w:spacing w:line="360" w:lineRule="auto"/>
        <w:ind w:firstLine="482" w:firstLineChars="200"/>
        <w:rPr>
          <w:sz w:val="24"/>
        </w:rPr>
      </w:pPr>
      <w:r>
        <w:rPr>
          <w:rFonts w:hint="eastAsia"/>
          <w:b/>
          <w:bCs/>
          <w:sz w:val="24"/>
        </w:rPr>
        <w:t>三、</w:t>
      </w:r>
      <w:r>
        <w:rPr>
          <w:b/>
          <w:bCs/>
          <w:sz w:val="24"/>
        </w:rPr>
        <w:t>个人信息</w:t>
      </w:r>
      <w:r>
        <w:rPr>
          <w:rFonts w:hint="eastAsia"/>
          <w:b/>
          <w:bCs/>
          <w:sz w:val="24"/>
        </w:rPr>
        <w:t>处理目的、处理方式与保存期限</w:t>
      </w:r>
    </w:p>
    <w:p>
      <w:pPr>
        <w:spacing w:line="360" w:lineRule="auto"/>
        <w:ind w:firstLine="480" w:firstLineChars="200"/>
        <w:rPr>
          <w:sz w:val="24"/>
        </w:rPr>
      </w:pPr>
      <w:r>
        <w:rPr>
          <w:rFonts w:hint="eastAsia"/>
          <w:sz w:val="24"/>
        </w:rPr>
        <w:t>太平财险会使用您的普通个人信息及部分敏感信息以便完成保险合同的订立和履行。太平财险及其供应商会使用您的普通个人信息及部分敏感信息进行真实性核验、现场或远程查勘定损，以便向您提供保险理赔等服务。太平财险及其供应商会使用您的普通个人信息及部分敏感信息进行数据分析，以便更好地向您提供风险防范、增值服务、风险评估和提醒等客户服务。太平财险会使用您的普通个人信息向您推送续保提醒、理赔款到账提醒等服务，以及向您推荐保险产品和相关服务。太平集团、太平集团控股公司</w:t>
      </w:r>
      <w:r>
        <w:rPr>
          <w:rFonts w:hint="eastAsia" w:ascii="宋体" w:hAnsi="宋体" w:eastAsia="宋体" w:cs="宋体"/>
          <w:sz w:val="24"/>
        </w:rPr>
        <w:t>（包括太平人寿保险有限公司、太平养老保险股份有限公司等）</w:t>
      </w:r>
      <w:r>
        <w:rPr>
          <w:rFonts w:hint="eastAsia"/>
          <w:sz w:val="24"/>
        </w:rPr>
        <w:t>会使用您的普通个人信息向您推荐保险产品和相关服务。</w:t>
      </w:r>
    </w:p>
    <w:p>
      <w:pPr>
        <w:spacing w:line="360" w:lineRule="auto"/>
        <w:ind w:firstLine="480" w:firstLineChars="200"/>
        <w:rPr>
          <w:sz w:val="24"/>
        </w:rPr>
      </w:pPr>
      <w:r>
        <w:rPr>
          <w:rFonts w:hint="eastAsia"/>
          <w:sz w:val="24"/>
        </w:rPr>
        <w:t>您的个人信息在太平财险的保存期限为实现处理目的所必要的最短时间，最长不超过10年。《保险法》等国家相关法律法规另有要求的，以其规定的最低保管期限为准。</w:t>
      </w:r>
    </w:p>
    <w:p>
      <w:pPr>
        <w:spacing w:line="360" w:lineRule="auto"/>
        <w:ind w:firstLine="482" w:firstLineChars="200"/>
        <w:rPr>
          <w:b/>
          <w:bCs/>
          <w:sz w:val="24"/>
        </w:rPr>
      </w:pPr>
      <w:r>
        <w:rPr>
          <w:rFonts w:hint="eastAsia"/>
          <w:b/>
          <w:bCs/>
          <w:sz w:val="24"/>
        </w:rPr>
        <w:t>四、根据《个人信息保护法》，您享有的权利</w:t>
      </w:r>
    </w:p>
    <w:p>
      <w:pPr>
        <w:spacing w:line="360" w:lineRule="auto"/>
        <w:ind w:firstLine="480" w:firstLineChars="200"/>
        <w:rPr>
          <w:sz w:val="24"/>
        </w:rPr>
      </w:pPr>
      <w:r>
        <w:rPr>
          <w:rFonts w:hint="eastAsia"/>
          <w:sz w:val="24"/>
        </w:rPr>
        <w:t>1.您对</w:t>
      </w:r>
      <w:r>
        <w:rPr>
          <w:sz w:val="24"/>
        </w:rPr>
        <w:t>个人信息的处理享有知情权、决定权，有权限制或者拒绝他人对</w:t>
      </w:r>
      <w:r>
        <w:rPr>
          <w:rFonts w:hint="eastAsia"/>
          <w:sz w:val="24"/>
        </w:rPr>
        <w:t>您的</w:t>
      </w:r>
      <w:r>
        <w:rPr>
          <w:sz w:val="24"/>
        </w:rPr>
        <w:t>个人信息进行处理；</w:t>
      </w:r>
    </w:p>
    <w:p>
      <w:pPr>
        <w:spacing w:line="360" w:lineRule="auto"/>
        <w:ind w:firstLine="480" w:firstLineChars="200"/>
        <w:rPr>
          <w:sz w:val="24"/>
        </w:rPr>
      </w:pPr>
      <w:r>
        <w:rPr>
          <w:sz w:val="24"/>
        </w:rPr>
        <w:t> </w:t>
      </w:r>
      <w:r>
        <w:rPr>
          <w:rFonts w:hint="eastAsia"/>
          <w:sz w:val="24"/>
        </w:rPr>
        <w:t>2.您有权</w:t>
      </w:r>
      <w:r>
        <w:rPr>
          <w:sz w:val="24"/>
        </w:rPr>
        <w:t>查阅、复制个人信息；</w:t>
      </w:r>
      <w:r>
        <w:rPr>
          <w:rFonts w:hint="eastAsia"/>
          <w:sz w:val="24"/>
        </w:rPr>
        <w:t>有权要求将</w:t>
      </w:r>
      <w:r>
        <w:rPr>
          <w:sz w:val="24"/>
        </w:rPr>
        <w:t>个人信息转移至</w:t>
      </w:r>
      <w:r>
        <w:rPr>
          <w:rFonts w:hint="eastAsia"/>
          <w:sz w:val="24"/>
        </w:rPr>
        <w:t>您指定</w:t>
      </w:r>
      <w:r>
        <w:rPr>
          <w:sz w:val="24"/>
        </w:rPr>
        <w:t>的</w:t>
      </w:r>
      <w:r>
        <w:rPr>
          <w:rFonts w:hint="eastAsia"/>
          <w:sz w:val="24"/>
        </w:rPr>
        <w:t>、且符合国家网信部门规定条件的</w:t>
      </w:r>
      <w:r>
        <w:rPr>
          <w:sz w:val="24"/>
        </w:rPr>
        <w:t>个人信息处理者</w:t>
      </w:r>
      <w:r>
        <w:rPr>
          <w:rFonts w:hint="eastAsia"/>
          <w:sz w:val="24"/>
        </w:rPr>
        <w:t>；</w:t>
      </w:r>
    </w:p>
    <w:p>
      <w:pPr>
        <w:spacing w:line="360" w:lineRule="auto"/>
        <w:ind w:firstLine="480" w:firstLineChars="200"/>
        <w:rPr>
          <w:sz w:val="24"/>
        </w:rPr>
      </w:pPr>
      <w:r>
        <w:rPr>
          <w:rFonts w:hint="eastAsia"/>
          <w:sz w:val="24"/>
        </w:rPr>
        <w:t>3.您发现个人信息不准确或者不完整的，</w:t>
      </w:r>
      <w:r>
        <w:rPr>
          <w:sz w:val="24"/>
        </w:rPr>
        <w:t>有权请求</w:t>
      </w:r>
      <w:r>
        <w:rPr>
          <w:rFonts w:hint="eastAsia"/>
          <w:sz w:val="24"/>
        </w:rPr>
        <w:t>对</w:t>
      </w:r>
      <w:r>
        <w:rPr>
          <w:sz w:val="24"/>
        </w:rPr>
        <w:t>个人信息更正、补充</w:t>
      </w:r>
      <w:r>
        <w:rPr>
          <w:rFonts w:hint="eastAsia"/>
          <w:sz w:val="24"/>
        </w:rPr>
        <w:t>；</w:t>
      </w:r>
    </w:p>
    <w:p>
      <w:pPr>
        <w:spacing w:line="360" w:lineRule="auto"/>
        <w:ind w:firstLine="480" w:firstLineChars="200"/>
        <w:rPr>
          <w:sz w:val="24"/>
        </w:rPr>
      </w:pPr>
      <w:r>
        <w:rPr>
          <w:sz w:val="24"/>
        </w:rPr>
        <w:t> </w:t>
      </w:r>
      <w:r>
        <w:rPr>
          <w:rFonts w:hint="eastAsia"/>
          <w:sz w:val="24"/>
        </w:rPr>
        <w:t>4.</w:t>
      </w:r>
      <w:r>
        <w:rPr>
          <w:sz w:val="24"/>
        </w:rPr>
        <w:t>有下列情形之一的，个人信息处理者应当主动删除个人信息；个人信息处理者未删除的，</w:t>
      </w:r>
      <w:r>
        <w:rPr>
          <w:rFonts w:hint="eastAsia"/>
          <w:sz w:val="24"/>
        </w:rPr>
        <w:t>您</w:t>
      </w:r>
      <w:r>
        <w:rPr>
          <w:sz w:val="24"/>
        </w:rPr>
        <w:t>有权请求删除：</w:t>
      </w:r>
    </w:p>
    <w:p>
      <w:pPr>
        <w:spacing w:line="360" w:lineRule="auto"/>
        <w:ind w:firstLine="480" w:firstLineChars="200"/>
        <w:rPr>
          <w:sz w:val="24"/>
        </w:rPr>
      </w:pPr>
      <w:r>
        <w:rPr>
          <w:rFonts w:hint="eastAsia"/>
          <w:sz w:val="24"/>
        </w:rPr>
        <w:t>（1）</w:t>
      </w:r>
      <w:r>
        <w:rPr>
          <w:sz w:val="24"/>
        </w:rPr>
        <w:t>处理目的已实现、无法实现或者为实现处理目的不再必要；</w:t>
      </w:r>
    </w:p>
    <w:p>
      <w:pPr>
        <w:spacing w:line="360" w:lineRule="auto"/>
        <w:ind w:firstLine="480" w:firstLineChars="200"/>
        <w:rPr>
          <w:sz w:val="24"/>
        </w:rPr>
      </w:pPr>
      <w:r>
        <w:rPr>
          <w:rFonts w:hint="eastAsia"/>
          <w:sz w:val="24"/>
        </w:rPr>
        <w:t>（2）</w:t>
      </w:r>
      <w:r>
        <w:rPr>
          <w:sz w:val="24"/>
        </w:rPr>
        <w:t>个人信息处理者停止提供产品或者服务，或者保存期限已届满；</w:t>
      </w:r>
    </w:p>
    <w:p>
      <w:pPr>
        <w:spacing w:line="360" w:lineRule="auto"/>
        <w:ind w:firstLine="480" w:firstLineChars="200"/>
        <w:rPr>
          <w:sz w:val="24"/>
        </w:rPr>
      </w:pPr>
      <w:r>
        <w:rPr>
          <w:rFonts w:hint="eastAsia"/>
          <w:sz w:val="24"/>
        </w:rPr>
        <w:t>（3）您</w:t>
      </w:r>
      <w:r>
        <w:rPr>
          <w:sz w:val="24"/>
        </w:rPr>
        <w:t>撤回同意；</w:t>
      </w:r>
    </w:p>
    <w:p>
      <w:pPr>
        <w:spacing w:line="360" w:lineRule="auto"/>
        <w:ind w:firstLine="480" w:firstLineChars="200"/>
        <w:rPr>
          <w:sz w:val="24"/>
        </w:rPr>
      </w:pPr>
      <w:r>
        <w:rPr>
          <w:rFonts w:hint="eastAsia"/>
          <w:sz w:val="24"/>
        </w:rPr>
        <w:t>（4）</w:t>
      </w:r>
      <w:r>
        <w:rPr>
          <w:sz w:val="24"/>
        </w:rPr>
        <w:t>个人信息处理者违反法律、行政法规或者违反约定处理个人信息；</w:t>
      </w:r>
    </w:p>
    <w:p>
      <w:pPr>
        <w:spacing w:line="360" w:lineRule="auto"/>
        <w:ind w:firstLine="480" w:firstLineChars="200"/>
        <w:rPr>
          <w:sz w:val="24"/>
        </w:rPr>
      </w:pPr>
      <w:r>
        <w:rPr>
          <w:rFonts w:hint="eastAsia"/>
          <w:sz w:val="24"/>
        </w:rPr>
        <w:t>（5）</w:t>
      </w:r>
      <w:r>
        <w:rPr>
          <w:sz w:val="24"/>
        </w:rPr>
        <w:t>法律、行政法规规定的其他情形。</w:t>
      </w:r>
    </w:p>
    <w:p>
      <w:pPr>
        <w:spacing w:line="360" w:lineRule="auto"/>
        <w:ind w:firstLine="480" w:firstLineChars="200"/>
        <w:rPr>
          <w:sz w:val="24"/>
        </w:rPr>
      </w:pPr>
      <w:r>
        <w:rPr>
          <w:rFonts w:hint="eastAsia"/>
          <w:sz w:val="24"/>
        </w:rPr>
        <w:t>法律、行政法规规定的保存期限未届满，或者删除个人信息从技术上难以实现的，个人信息处理者应当停止除存储和采取必要的安全保护措施之外的处理。</w:t>
      </w:r>
    </w:p>
    <w:p>
      <w:pPr>
        <w:spacing w:line="360" w:lineRule="auto"/>
        <w:ind w:firstLine="480" w:firstLineChars="200"/>
        <w:rPr>
          <w:sz w:val="24"/>
        </w:rPr>
      </w:pPr>
      <w:r>
        <w:rPr>
          <w:rFonts w:hint="eastAsia"/>
          <w:sz w:val="24"/>
        </w:rPr>
        <w:t>5.您</w:t>
      </w:r>
      <w:r>
        <w:rPr>
          <w:sz w:val="24"/>
        </w:rPr>
        <w:t>有权要求个人信息处理者对个人信息处理规则进行解释说明</w:t>
      </w:r>
      <w:r>
        <w:rPr>
          <w:rFonts w:hint="eastAsia"/>
          <w:sz w:val="24"/>
        </w:rPr>
        <w:t>；</w:t>
      </w:r>
    </w:p>
    <w:p>
      <w:pPr>
        <w:spacing w:line="360" w:lineRule="auto"/>
        <w:ind w:firstLine="480" w:firstLineChars="200"/>
        <w:rPr>
          <w:sz w:val="24"/>
        </w:rPr>
      </w:pPr>
      <w:r>
        <w:rPr>
          <w:rFonts w:hint="eastAsia"/>
          <w:sz w:val="24"/>
        </w:rPr>
        <w:t>6.</w:t>
      </w:r>
      <w:r>
        <w:rPr>
          <w:sz w:val="24"/>
        </w:rPr>
        <w:t>自然人死亡的，其近亲属为了自身的合法、正当利益，可以对死者的相关个人信息行使本</w:t>
      </w:r>
      <w:r>
        <w:rPr>
          <w:rFonts w:hint="eastAsia"/>
          <w:sz w:val="24"/>
        </w:rPr>
        <w:t>条款</w:t>
      </w:r>
      <w:r>
        <w:rPr>
          <w:sz w:val="24"/>
        </w:rPr>
        <w:t>规定的查阅、复制、更正、删除等权利</w:t>
      </w:r>
      <w:r>
        <w:rPr>
          <w:rFonts w:hint="eastAsia"/>
          <w:sz w:val="24"/>
        </w:rPr>
        <w:t>；死者生前另有安排的除外；</w:t>
      </w:r>
    </w:p>
    <w:p>
      <w:pPr>
        <w:spacing w:line="360" w:lineRule="auto"/>
        <w:ind w:firstLine="480" w:firstLineChars="200"/>
        <w:rPr>
          <w:sz w:val="24"/>
        </w:rPr>
      </w:pPr>
      <w:r>
        <w:rPr>
          <w:rFonts w:hint="eastAsia"/>
          <w:sz w:val="24"/>
        </w:rPr>
        <w:t>7.</w:t>
      </w:r>
      <w:r>
        <w:rPr>
          <w:sz w:val="24"/>
        </w:rPr>
        <w:t>个人信息处理者拒绝个人行使权利的请求的，</w:t>
      </w:r>
      <w:r>
        <w:rPr>
          <w:rFonts w:hint="eastAsia"/>
          <w:sz w:val="24"/>
        </w:rPr>
        <w:t>您</w:t>
      </w:r>
      <w:r>
        <w:rPr>
          <w:sz w:val="24"/>
        </w:rPr>
        <w:t>可以依法向人民法院提起诉讼。</w:t>
      </w:r>
    </w:p>
    <w:p>
      <w:pPr>
        <w:spacing w:line="360" w:lineRule="auto"/>
        <w:ind w:firstLine="482" w:firstLineChars="200"/>
        <w:rPr>
          <w:b/>
          <w:bCs/>
          <w:sz w:val="24"/>
        </w:rPr>
      </w:pPr>
      <w:r>
        <w:rPr>
          <w:rFonts w:hint="eastAsia"/>
          <w:b/>
          <w:bCs/>
          <w:sz w:val="24"/>
        </w:rPr>
        <w:t>五、个人行使权利方式与程序</w:t>
      </w:r>
    </w:p>
    <w:p>
      <w:pPr>
        <w:spacing w:line="360" w:lineRule="auto"/>
        <w:ind w:firstLine="480" w:firstLineChars="200"/>
        <w:rPr>
          <w:sz w:val="24"/>
        </w:rPr>
      </w:pPr>
      <w:r>
        <w:rPr>
          <w:rFonts w:hint="eastAsia"/>
          <w:sz w:val="24"/>
        </w:rPr>
        <w:t>您依法享有《个人信息保护法》赋予您的相关权利，您可以拨打95589客服热线，或者至太平财险各营业场所行使相关权利。</w:t>
      </w:r>
    </w:p>
    <w:p>
      <w:pPr>
        <w:spacing w:line="360" w:lineRule="auto"/>
        <w:ind w:firstLine="482" w:firstLineChars="200"/>
        <w:rPr>
          <w:b/>
          <w:bCs/>
          <w:sz w:val="24"/>
        </w:rPr>
      </w:pPr>
      <w:r>
        <w:rPr>
          <w:rFonts w:hint="eastAsia"/>
          <w:b/>
          <w:bCs/>
          <w:sz w:val="24"/>
        </w:rPr>
        <w:t>六、个人信息处理者的义务</w:t>
      </w:r>
    </w:p>
    <w:p>
      <w:pPr>
        <w:spacing w:line="360" w:lineRule="auto"/>
        <w:ind w:firstLine="480" w:firstLineChars="200"/>
        <w:rPr>
          <w:sz w:val="24"/>
        </w:rPr>
      </w:pPr>
      <w:r>
        <w:rPr>
          <w:rFonts w:hint="eastAsia"/>
          <w:sz w:val="24"/>
        </w:rPr>
        <w:t>根据《个人信息保护法》，个人信息处理者应当履行以下义务：个人信息处理者应当采取充分措施确保个人信息处理活动符合法律、行政法规的规定，并防止未经授权的访问以及个人信息泄露、篡改、丢失；个人信息处理者应当公开个人信息保护负责人的联系方式；个人信息处理者应当定期对其处理个人信息遵守法律、行政法规的情况进行合规审计；个人信息处理者应当在处理个人敏感信息、自动化决策、向他人提供个人信息等事项前进行个人信息保护影响评估并记录；发生或者可能发生个人信息泄露、篡改、丢失的，个人信息处理者应当立即采取补救措施，并通知履行个人信息保护职责的部门和个人。</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643" w:firstLineChars="200"/>
        <w:jc w:val="center"/>
        <w:rPr>
          <w:b/>
          <w:bCs/>
          <w:sz w:val="32"/>
          <w:szCs w:val="32"/>
        </w:rPr>
      </w:pPr>
      <w:r>
        <w:rPr>
          <w:rFonts w:hint="eastAsia"/>
          <w:b/>
          <w:bCs/>
          <w:sz w:val="32"/>
          <w:szCs w:val="32"/>
        </w:rPr>
        <w:t>普通个人信息授权书</w:t>
      </w:r>
    </w:p>
    <w:p>
      <w:pPr>
        <w:spacing w:line="360" w:lineRule="auto"/>
        <w:ind w:firstLine="480" w:firstLineChars="200"/>
        <w:rPr>
          <w:sz w:val="24"/>
        </w:rPr>
      </w:pPr>
    </w:p>
    <w:p>
      <w:pPr>
        <w:spacing w:line="360" w:lineRule="auto"/>
        <w:ind w:firstLine="480" w:firstLineChars="200"/>
        <w:rPr>
          <w:rFonts w:ascii="宋体" w:hAnsi="宋体" w:eastAsia="宋体" w:cs="宋体"/>
          <w:sz w:val="24"/>
        </w:rPr>
      </w:pPr>
      <w:r>
        <w:rPr>
          <w:rFonts w:hint="eastAsia" w:ascii="宋体" w:hAnsi="宋体" w:eastAsia="宋体" w:cs="宋体"/>
          <w:sz w:val="24"/>
        </w:rPr>
        <w:t>本人已认真阅读并理解《太平财产保险有限公司个人客户信息处理规则》，同意授权太平财产保险有限公司、太平财产保险有限公司服务供应商按照《太平财产保险有限公司个人客户信息处理规则》处理本人信息。</w:t>
      </w:r>
    </w:p>
    <w:p>
      <w:pPr>
        <w:widowControl/>
        <w:autoSpaceDE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本授权自本授权书签署时生效、具有独立法律效力，如保险合同不成立，本授权自动废止。</w:t>
      </w:r>
    </w:p>
    <w:p>
      <w:pPr>
        <w:widowControl/>
        <w:autoSpaceDE w:val="0"/>
        <w:spacing w:line="360" w:lineRule="auto"/>
        <w:ind w:firstLine="480" w:firstLineChars="200"/>
        <w:rPr>
          <w:rFonts w:ascii="宋体" w:hAnsi="宋体" w:eastAsia="宋体" w:cs="宋体"/>
          <w:kern w:val="0"/>
          <w:sz w:val="24"/>
        </w:rPr>
      </w:pPr>
    </w:p>
    <w:p>
      <w:pPr>
        <w:widowControl/>
        <w:autoSpaceDE w:val="0"/>
        <w:spacing w:line="360" w:lineRule="auto"/>
        <w:ind w:firstLine="480" w:firstLineChars="200"/>
        <w:rPr>
          <w:rFonts w:ascii="宋体" w:hAnsi="宋体" w:eastAsia="宋体" w:cs="宋体"/>
          <w:kern w:val="0"/>
          <w:sz w:val="24"/>
        </w:rPr>
      </w:pPr>
    </w:p>
    <w:p>
      <w:pPr>
        <w:spacing w:line="360" w:lineRule="auto"/>
        <w:ind w:firstLine="6720" w:firstLineChars="2800"/>
        <w:rPr>
          <w:rFonts w:ascii="宋体" w:hAnsi="宋体" w:eastAsia="宋体" w:cs="宋体"/>
          <w:kern w:val="0"/>
          <w:sz w:val="24"/>
        </w:rPr>
      </w:pPr>
    </w:p>
    <w:p>
      <w:pPr>
        <w:spacing w:line="360" w:lineRule="auto"/>
        <w:ind w:firstLine="643" w:firstLineChars="200"/>
        <w:jc w:val="center"/>
        <w:rPr>
          <w:b/>
          <w:bCs/>
          <w:sz w:val="32"/>
          <w:szCs w:val="32"/>
        </w:rPr>
      </w:pPr>
      <w:r>
        <w:rPr>
          <w:rFonts w:hint="eastAsia"/>
          <w:b/>
          <w:bCs/>
          <w:sz w:val="32"/>
          <w:szCs w:val="32"/>
        </w:rPr>
        <w:t>敏感个人信息授权书</w:t>
      </w:r>
    </w:p>
    <w:p>
      <w:pPr>
        <w:spacing w:line="360" w:lineRule="auto"/>
        <w:ind w:firstLine="480" w:firstLineChars="200"/>
        <w:rPr>
          <w:sz w:val="24"/>
        </w:rPr>
      </w:pPr>
    </w:p>
    <w:p>
      <w:pPr>
        <w:spacing w:line="360" w:lineRule="auto"/>
        <w:ind w:firstLine="480" w:firstLineChars="200"/>
        <w:rPr>
          <w:rFonts w:ascii="宋体" w:hAnsi="宋体" w:eastAsia="宋体" w:cs="宋体"/>
          <w:sz w:val="24"/>
        </w:rPr>
      </w:pPr>
      <w:r>
        <w:rPr>
          <w:rFonts w:hint="eastAsia" w:ascii="宋体" w:hAnsi="宋体" w:eastAsia="宋体" w:cs="宋体"/>
          <w:sz w:val="24"/>
        </w:rPr>
        <w:t>本人已认真阅读并理解《太平财产保险有限公司个人客户信息处理规则》，并已得知处理本人敏感个人信息的必要性以及对本人权益的影响（参见《</w:t>
      </w:r>
      <w:r>
        <w:rPr>
          <w:rFonts w:hint="eastAsia" w:ascii="宋体" w:hAnsi="宋体" w:eastAsia="宋体" w:cs="宋体"/>
          <w:b/>
          <w:bCs/>
          <w:sz w:val="24"/>
        </w:rPr>
        <w:t>中华人民共和国个人信息保护法》第三十条）</w:t>
      </w:r>
      <w:r>
        <w:rPr>
          <w:rFonts w:hint="eastAsia" w:ascii="宋体" w:hAnsi="宋体" w:eastAsia="宋体" w:cs="宋体"/>
          <w:sz w:val="24"/>
        </w:rPr>
        <w:t>，同意授权太平财产保险有限公司、太平财产保险有限公司服务供应商按照《太平财产保险有限公司个人客户信息处理规则》处理本人敏感个人信息。</w:t>
      </w:r>
    </w:p>
    <w:p>
      <w:pPr>
        <w:widowControl/>
        <w:autoSpaceDE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本授权自本授权书签署时生效、具有独立法律效力，如保险合同不成立，本授权自动废止。</w:t>
      </w:r>
    </w:p>
    <w:p>
      <w:pPr>
        <w:widowControl/>
        <w:autoSpaceDE w:val="0"/>
        <w:spacing w:line="360" w:lineRule="auto"/>
        <w:ind w:firstLine="480" w:firstLineChars="200"/>
        <w:rPr>
          <w:rFonts w:ascii="宋体" w:hAnsi="宋体" w:eastAsia="宋体" w:cs="宋体"/>
          <w:kern w:val="0"/>
          <w:sz w:val="24"/>
        </w:rPr>
      </w:pPr>
    </w:p>
    <w:p>
      <w:pPr>
        <w:widowControl/>
        <w:autoSpaceDE w:val="0"/>
        <w:spacing w:line="360" w:lineRule="auto"/>
        <w:ind w:firstLine="0" w:firstLineChars="0"/>
        <w:rPr>
          <w:rFonts w:ascii="宋体" w:hAnsi="宋体" w:eastAsia="宋体" w:cs="宋体"/>
          <w:kern w:val="0"/>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10.35.4.21:80/weaver/weaver.file.FileDownload?fileid=2204999&amp;type=document"/>
  </w:docVars>
  <w:rsids>
    <w:rsidRoot w:val="00D41E24"/>
    <w:rsid w:val="00012121"/>
    <w:rsid w:val="000A7B6A"/>
    <w:rsid w:val="000F1CB6"/>
    <w:rsid w:val="00177B46"/>
    <w:rsid w:val="001C6AA2"/>
    <w:rsid w:val="00214FE4"/>
    <w:rsid w:val="002B7271"/>
    <w:rsid w:val="00460C86"/>
    <w:rsid w:val="005166AE"/>
    <w:rsid w:val="00542293"/>
    <w:rsid w:val="005A635E"/>
    <w:rsid w:val="00664A9C"/>
    <w:rsid w:val="00807AE2"/>
    <w:rsid w:val="008632C8"/>
    <w:rsid w:val="008811F0"/>
    <w:rsid w:val="0092370A"/>
    <w:rsid w:val="00962821"/>
    <w:rsid w:val="00B24938"/>
    <w:rsid w:val="00B502FB"/>
    <w:rsid w:val="00C36A0D"/>
    <w:rsid w:val="00CD422C"/>
    <w:rsid w:val="00CF476E"/>
    <w:rsid w:val="00D3243F"/>
    <w:rsid w:val="00D41E24"/>
    <w:rsid w:val="00DE7310"/>
    <w:rsid w:val="00EC1A77"/>
    <w:rsid w:val="034B55A1"/>
    <w:rsid w:val="041F7EE6"/>
    <w:rsid w:val="05E860A3"/>
    <w:rsid w:val="06A51810"/>
    <w:rsid w:val="07E53215"/>
    <w:rsid w:val="08825FBC"/>
    <w:rsid w:val="08C62243"/>
    <w:rsid w:val="0A350707"/>
    <w:rsid w:val="0A4A4065"/>
    <w:rsid w:val="0C1972EA"/>
    <w:rsid w:val="0D3C4992"/>
    <w:rsid w:val="0ECE1A01"/>
    <w:rsid w:val="0EF71D5B"/>
    <w:rsid w:val="101A6A86"/>
    <w:rsid w:val="11242921"/>
    <w:rsid w:val="12D64DF0"/>
    <w:rsid w:val="14B2156B"/>
    <w:rsid w:val="14EC7D8F"/>
    <w:rsid w:val="14F64510"/>
    <w:rsid w:val="19D419F2"/>
    <w:rsid w:val="19F656FF"/>
    <w:rsid w:val="19FB0E67"/>
    <w:rsid w:val="1A5945F5"/>
    <w:rsid w:val="1BC5036E"/>
    <w:rsid w:val="1C912D8B"/>
    <w:rsid w:val="1DD43BAE"/>
    <w:rsid w:val="1DF10820"/>
    <w:rsid w:val="1EBC11C8"/>
    <w:rsid w:val="1ED66B5D"/>
    <w:rsid w:val="1F6954CB"/>
    <w:rsid w:val="1FB429E7"/>
    <w:rsid w:val="215E7F2E"/>
    <w:rsid w:val="22783CFA"/>
    <w:rsid w:val="22DB6D28"/>
    <w:rsid w:val="23DA04A7"/>
    <w:rsid w:val="241543D9"/>
    <w:rsid w:val="26DE2D5C"/>
    <w:rsid w:val="27314488"/>
    <w:rsid w:val="278D2F67"/>
    <w:rsid w:val="294A178C"/>
    <w:rsid w:val="2A807347"/>
    <w:rsid w:val="2D843EB0"/>
    <w:rsid w:val="2DFB178A"/>
    <w:rsid w:val="2ED943BE"/>
    <w:rsid w:val="2EE734E9"/>
    <w:rsid w:val="30BD3BD9"/>
    <w:rsid w:val="310B5B46"/>
    <w:rsid w:val="33082E36"/>
    <w:rsid w:val="33586E51"/>
    <w:rsid w:val="35626A02"/>
    <w:rsid w:val="35EE6D48"/>
    <w:rsid w:val="36673AAE"/>
    <w:rsid w:val="3819518D"/>
    <w:rsid w:val="38E05E32"/>
    <w:rsid w:val="3B86797D"/>
    <w:rsid w:val="3BAD4017"/>
    <w:rsid w:val="3C9D27B2"/>
    <w:rsid w:val="3CD56C8B"/>
    <w:rsid w:val="3CEA68A1"/>
    <w:rsid w:val="3D0D528A"/>
    <w:rsid w:val="3DDE621E"/>
    <w:rsid w:val="3E2D084E"/>
    <w:rsid w:val="3ED810FB"/>
    <w:rsid w:val="3F8B7CCF"/>
    <w:rsid w:val="3FF61219"/>
    <w:rsid w:val="401B2307"/>
    <w:rsid w:val="413F3131"/>
    <w:rsid w:val="42A70176"/>
    <w:rsid w:val="42BD20AB"/>
    <w:rsid w:val="43007A61"/>
    <w:rsid w:val="45FB6391"/>
    <w:rsid w:val="464A0D85"/>
    <w:rsid w:val="46A06218"/>
    <w:rsid w:val="478D6166"/>
    <w:rsid w:val="479439FF"/>
    <w:rsid w:val="49671EEA"/>
    <w:rsid w:val="4A960F1C"/>
    <w:rsid w:val="4B8A49F2"/>
    <w:rsid w:val="4B9A5A4A"/>
    <w:rsid w:val="4DDF5591"/>
    <w:rsid w:val="4E5C72BA"/>
    <w:rsid w:val="4F8D05BD"/>
    <w:rsid w:val="50695414"/>
    <w:rsid w:val="51FD6E01"/>
    <w:rsid w:val="52743897"/>
    <w:rsid w:val="549731D4"/>
    <w:rsid w:val="54D3023D"/>
    <w:rsid w:val="553975F8"/>
    <w:rsid w:val="55DA1E82"/>
    <w:rsid w:val="5648378D"/>
    <w:rsid w:val="565B5CE5"/>
    <w:rsid w:val="56EC035B"/>
    <w:rsid w:val="5731074C"/>
    <w:rsid w:val="578012DD"/>
    <w:rsid w:val="59731D6A"/>
    <w:rsid w:val="59D42CDC"/>
    <w:rsid w:val="5B041D13"/>
    <w:rsid w:val="5BB653FB"/>
    <w:rsid w:val="5C896EB8"/>
    <w:rsid w:val="5CA76F6A"/>
    <w:rsid w:val="5E187173"/>
    <w:rsid w:val="5E9F283F"/>
    <w:rsid w:val="5F8937B9"/>
    <w:rsid w:val="600B6CED"/>
    <w:rsid w:val="60EB50DC"/>
    <w:rsid w:val="6294640A"/>
    <w:rsid w:val="63C46527"/>
    <w:rsid w:val="65A91DB6"/>
    <w:rsid w:val="661936DD"/>
    <w:rsid w:val="66851FC3"/>
    <w:rsid w:val="68106408"/>
    <w:rsid w:val="69627915"/>
    <w:rsid w:val="6A3D20FF"/>
    <w:rsid w:val="6B036328"/>
    <w:rsid w:val="6B106670"/>
    <w:rsid w:val="6C2945E5"/>
    <w:rsid w:val="6F723CC4"/>
    <w:rsid w:val="70595675"/>
    <w:rsid w:val="70B24A80"/>
    <w:rsid w:val="70C313A8"/>
    <w:rsid w:val="71122791"/>
    <w:rsid w:val="711D56B7"/>
    <w:rsid w:val="719E3B13"/>
    <w:rsid w:val="72634C85"/>
    <w:rsid w:val="734201EA"/>
    <w:rsid w:val="745747C5"/>
    <w:rsid w:val="7581663A"/>
    <w:rsid w:val="79034C70"/>
    <w:rsid w:val="79453D29"/>
    <w:rsid w:val="79723C24"/>
    <w:rsid w:val="79AD53EE"/>
    <w:rsid w:val="7A43115E"/>
    <w:rsid w:val="7B9B38AD"/>
    <w:rsid w:val="7BDC41CD"/>
    <w:rsid w:val="7C6772B9"/>
    <w:rsid w:val="7E0A49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Balloon Text"/>
    <w:basedOn w:val="1"/>
    <w:link w:val="12"/>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qFormat/>
    <w:uiPriority w:val="0"/>
    <w:rPr>
      <w:sz w:val="21"/>
      <w:szCs w:val="21"/>
    </w:rPr>
  </w:style>
  <w:style w:type="character" w:customStyle="1" w:styleId="10">
    <w:name w:val="any"/>
    <w:basedOn w:val="8"/>
    <w:qFormat/>
    <w:uiPriority w:val="0"/>
  </w:style>
  <w:style w:type="paragraph" w:customStyle="1" w:styleId="11">
    <w:name w:val="faguicon_p"/>
    <w:basedOn w:val="1"/>
    <w:qFormat/>
    <w:uiPriority w:val="0"/>
    <w:pPr>
      <w:ind w:firstLine="480"/>
    </w:pPr>
    <w:rPr>
      <w:rFonts w:ascii="微软雅黑" w:hAnsi="微软雅黑" w:eastAsia="微软雅黑" w:cs="微软雅黑"/>
    </w:rPr>
  </w:style>
  <w:style w:type="character" w:customStyle="1" w:styleId="12">
    <w:name w:val="批注框文本 Char"/>
    <w:basedOn w:val="8"/>
    <w:link w:val="4"/>
    <w:qFormat/>
    <w:uiPriority w:val="0"/>
    <w:rPr>
      <w:kern w:val="2"/>
      <w:sz w:val="18"/>
      <w:szCs w:val="18"/>
    </w:rPr>
  </w:style>
  <w:style w:type="character" w:customStyle="1" w:styleId="13">
    <w:name w:val="页眉 Char"/>
    <w:basedOn w:val="8"/>
    <w:link w:val="6"/>
    <w:qFormat/>
    <w:uiPriority w:val="0"/>
    <w:rPr>
      <w:kern w:val="2"/>
      <w:sz w:val="18"/>
      <w:szCs w:val="18"/>
    </w:rPr>
  </w:style>
  <w:style w:type="character" w:customStyle="1" w:styleId="14">
    <w:name w:val="页脚 Char"/>
    <w:basedOn w:val="8"/>
    <w:link w:val="5"/>
    <w:qFormat/>
    <w:uiPriority w:val="0"/>
    <w:rPr>
      <w:kern w:val="2"/>
      <w:sz w:val="18"/>
      <w:szCs w:val="18"/>
    </w:rPr>
  </w:style>
  <w:style w:type="character" w:customStyle="1" w:styleId="15">
    <w:name w:val="标题 1 Char"/>
    <w:basedOn w:val="8"/>
    <w:link w:val="2"/>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CNTP</Company>
  <Pages>4</Pages>
  <Words>367</Words>
  <Characters>2092</Characters>
  <Lines>17</Lines>
  <Paragraphs>4</Paragraphs>
  <TotalTime>1</TotalTime>
  <ScaleCrop>false</ScaleCrop>
  <LinksUpToDate>false</LinksUpToDate>
  <CharactersWithSpaces>2455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2022-09-17T05:34:00Z</dcterms:created>
  <dc:creator>86176</dc:creator>
  <cp:lastModifiedBy>太财</cp:lastModifiedBy>
  <cp:lastPrinted>2022-09-19T02:33:00Z</cp:lastPrinted>
  <dcterms:modified xsi:type="dcterms:W3CDTF">2024-06-12T02:36:26Z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562963ACF1294ACBBD6F13DEF3F22535</vt:lpwstr>
  </property>
</Properties>
</file>