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ind w:firstLine="0" w:firstLineChars="0"/>
        <w:jc w:val="center"/>
        <w:rPr>
          <w:rFonts w:ascii="宋体" w:hAnsi="宋体" w:cs="宋体"/>
          <w:b/>
          <w:sz w:val="24"/>
          <w:szCs w:val="24"/>
        </w:rPr>
      </w:pPr>
      <w:bookmarkStart w:id="4" w:name="_GoBack"/>
      <w:bookmarkEnd w:id="4"/>
      <w:r>
        <w:rPr>
          <w:rFonts w:hint="eastAsia" w:ascii="宋体" w:hAnsi="宋体" w:cs="宋体"/>
          <w:b/>
          <w:sz w:val="24"/>
          <w:szCs w:val="24"/>
        </w:rPr>
        <w:t>众安在线财产保险股份有限公司</w:t>
      </w:r>
    </w:p>
    <w:p>
      <w:pPr>
        <w:spacing w:line="400" w:lineRule="exact"/>
        <w:ind w:firstLine="0" w:firstLineChars="0"/>
        <w:jc w:val="center"/>
        <w:rPr>
          <w:rFonts w:hint="eastAsia" w:ascii="宋体" w:hAnsi="宋体" w:cs="宋体"/>
          <w:b/>
          <w:kern w:val="0"/>
          <w:sz w:val="24"/>
          <w:szCs w:val="24"/>
          <w:lang w:eastAsia="zh-CN"/>
        </w:rPr>
      </w:pPr>
      <w:r>
        <w:rPr>
          <w:rFonts w:hint="eastAsia" w:ascii="宋体" w:hAnsi="宋体" w:cs="宋体"/>
          <w:b/>
          <w:kern w:val="0"/>
          <w:sz w:val="24"/>
          <w:szCs w:val="24"/>
        </w:rPr>
        <w:t>互联网团体意外伤害保险条款</w:t>
      </w:r>
      <w:r>
        <w:rPr>
          <w:rFonts w:hint="eastAsia" w:ascii="宋体" w:hAnsi="宋体" w:cs="宋体"/>
          <w:b/>
          <w:kern w:val="0"/>
          <w:sz w:val="24"/>
          <w:szCs w:val="24"/>
          <w:lang w:eastAsia="zh-CN"/>
        </w:rPr>
        <w:t>（</w:t>
      </w:r>
      <w:r>
        <w:rPr>
          <w:rFonts w:hint="eastAsia" w:ascii="宋体" w:hAnsi="宋体" w:cs="宋体"/>
          <w:b/>
          <w:kern w:val="0"/>
          <w:sz w:val="24"/>
          <w:szCs w:val="24"/>
        </w:rPr>
        <w:t>2022版A款</w:t>
      </w:r>
      <w:r>
        <w:rPr>
          <w:rFonts w:hint="eastAsia" w:ascii="宋体" w:hAnsi="宋体" w:cs="宋体"/>
          <w:b/>
          <w:kern w:val="0"/>
          <w:sz w:val="24"/>
          <w:szCs w:val="24"/>
          <w:lang w:eastAsia="zh-CN"/>
        </w:rPr>
        <w:t>）</w:t>
      </w:r>
    </w:p>
    <w:p>
      <w:pPr>
        <w:spacing w:line="400" w:lineRule="exact"/>
        <w:ind w:firstLine="0" w:firstLineChars="0"/>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注册号：</w:t>
      </w:r>
      <w:r>
        <w:rPr>
          <w:rFonts w:hint="eastAsia" w:ascii="宋体" w:hAnsi="宋体" w:eastAsia="宋体" w:cs="宋体"/>
          <w:b/>
          <w:bCs w:val="0"/>
          <w:i w:val="0"/>
          <w:iCs w:val="0"/>
          <w:caps w:val="0"/>
          <w:spacing w:val="0"/>
          <w:kern w:val="0"/>
          <w:sz w:val="24"/>
          <w:szCs w:val="24"/>
          <w:shd w:val="clear"/>
        </w:rPr>
        <w:t>C00017932312021120818263</w:t>
      </w:r>
    </w:p>
    <w:p>
      <w:pPr>
        <w:spacing w:line="400" w:lineRule="exact"/>
        <w:ind w:firstLine="0" w:firstLineChars="0"/>
        <w:jc w:val="center"/>
        <w:rPr>
          <w:rFonts w:hint="eastAsia" w:ascii="宋体" w:hAnsi="宋体" w:cs="宋体"/>
          <w:b/>
          <w:kern w:val="0"/>
          <w:sz w:val="24"/>
          <w:szCs w:val="24"/>
        </w:rPr>
      </w:pPr>
    </w:p>
    <w:p>
      <w:pPr>
        <w:pStyle w:val="2"/>
        <w:spacing w:before="0" w:after="0" w:line="400" w:lineRule="exact"/>
        <w:ind w:left="0"/>
        <w:rPr>
          <w:rFonts w:ascii="宋体" w:hAnsi="宋体" w:cs="宋体"/>
          <w:szCs w:val="21"/>
        </w:rPr>
      </w:pPr>
      <w:r>
        <w:rPr>
          <w:rFonts w:hint="eastAsia" w:ascii="宋体" w:hAnsi="宋体" w:cs="宋体"/>
          <w:szCs w:val="21"/>
        </w:rPr>
        <w:t>总则</w:t>
      </w:r>
    </w:p>
    <w:p>
      <w:pPr>
        <w:pStyle w:val="3"/>
        <w:spacing w:line="400" w:lineRule="exact"/>
        <w:ind w:left="0"/>
        <w:jc w:val="both"/>
        <w:rPr>
          <w:rFonts w:cs="宋体"/>
        </w:rPr>
      </w:pPr>
      <w:r>
        <w:rPr>
          <w:rFonts w:hint="eastAsia" w:cs="宋体"/>
        </w:rPr>
        <w:t>合同构成</w:t>
      </w:r>
    </w:p>
    <w:p>
      <w:pPr>
        <w:spacing w:line="400" w:lineRule="exact"/>
        <w:ind w:firstLine="420"/>
        <w:rPr>
          <w:rFonts w:ascii="宋体" w:hAnsi="宋体" w:cs="宋体"/>
          <w:szCs w:val="21"/>
        </w:rPr>
      </w:pPr>
      <w:r>
        <w:rPr>
          <w:rFonts w:hint="eastAsia" w:ascii="宋体" w:hAnsi="宋体" w:cs="宋体"/>
          <w:kern w:val="0"/>
          <w:szCs w:val="21"/>
        </w:rPr>
        <w:t>本保险合同（以下简称“本合同”）由保险条款、投保单、保险单、批单或其他保险凭证等组成。凡涉及本合同的约定，均应采用书面形式。</w:t>
      </w:r>
    </w:p>
    <w:p>
      <w:pPr>
        <w:pStyle w:val="3"/>
        <w:spacing w:line="400" w:lineRule="exact"/>
        <w:ind w:left="0"/>
        <w:jc w:val="both"/>
        <w:rPr>
          <w:rFonts w:cs="宋体"/>
        </w:rPr>
      </w:pPr>
      <w:r>
        <w:rPr>
          <w:rFonts w:hint="eastAsia" w:cs="宋体"/>
        </w:rPr>
        <w:t>合同的成立</w:t>
      </w:r>
    </w:p>
    <w:p>
      <w:pPr>
        <w:pStyle w:val="20"/>
        <w:spacing w:after="0" w:line="400" w:lineRule="exact"/>
        <w:rPr>
          <w:rFonts w:ascii="宋体" w:hAnsi="宋体" w:cs="宋体"/>
          <w:kern w:val="0"/>
          <w:szCs w:val="21"/>
        </w:rPr>
      </w:pPr>
      <w:r>
        <w:rPr>
          <w:rFonts w:hint="eastAsia" w:ascii="宋体" w:hAnsi="宋体" w:cs="宋体"/>
          <w:kern w:val="0"/>
          <w:szCs w:val="21"/>
        </w:rPr>
        <w:t>投保人提出保险申请，经</w:t>
      </w:r>
      <w:r>
        <w:rPr>
          <w:rFonts w:hint="eastAsia" w:ascii="宋体" w:hAnsi="宋体" w:cs="宋体"/>
          <w:b/>
          <w:kern w:val="0"/>
          <w:szCs w:val="21"/>
        </w:rPr>
        <w:t>保险人</w:t>
      </w:r>
      <w:r>
        <w:rPr>
          <w:rFonts w:hint="eastAsia" w:ascii="宋体" w:hAnsi="宋体" w:cs="宋体"/>
          <w:bCs/>
          <w:kern w:val="0"/>
          <w:szCs w:val="21"/>
        </w:rPr>
        <w:t>（释义一）</w:t>
      </w:r>
      <w:r>
        <w:rPr>
          <w:rFonts w:hint="eastAsia" w:ascii="宋体" w:hAnsi="宋体" w:cs="宋体"/>
          <w:kern w:val="0"/>
          <w:szCs w:val="21"/>
        </w:rPr>
        <w:t>同意承保，本合同成立。</w:t>
      </w:r>
    </w:p>
    <w:p>
      <w:pPr>
        <w:pStyle w:val="3"/>
        <w:spacing w:line="400" w:lineRule="exact"/>
        <w:ind w:left="0"/>
        <w:jc w:val="both"/>
        <w:rPr>
          <w:rFonts w:cs="宋体"/>
        </w:rPr>
      </w:pPr>
      <w:r>
        <w:rPr>
          <w:rFonts w:hint="eastAsia" w:cs="宋体"/>
        </w:rPr>
        <w:t>投保人</w:t>
      </w:r>
    </w:p>
    <w:p>
      <w:pPr>
        <w:pStyle w:val="20"/>
        <w:spacing w:after="0" w:line="400" w:lineRule="exact"/>
        <w:rPr>
          <w:rFonts w:ascii="宋体" w:hAnsi="宋体" w:cs="宋体"/>
          <w:kern w:val="0"/>
          <w:szCs w:val="21"/>
        </w:rPr>
      </w:pPr>
      <w:r>
        <w:rPr>
          <w:rFonts w:hint="eastAsia" w:ascii="宋体" w:hAnsi="宋体" w:cs="宋体"/>
          <w:kern w:val="0"/>
          <w:szCs w:val="21"/>
        </w:rPr>
        <w:t>本合同的投保人应为对被保险人有保险利益的自然人、法人或非法人组织。在本合同签发时被保险人不得少于3人。</w:t>
      </w:r>
    </w:p>
    <w:p>
      <w:pPr>
        <w:pStyle w:val="3"/>
        <w:spacing w:line="400" w:lineRule="exact"/>
        <w:ind w:left="0"/>
        <w:jc w:val="both"/>
        <w:rPr>
          <w:rFonts w:cs="宋体"/>
        </w:rPr>
      </w:pPr>
      <w:r>
        <w:rPr>
          <w:rFonts w:hint="eastAsia" w:cs="宋体"/>
        </w:rPr>
        <w:t>被保险人</w:t>
      </w:r>
    </w:p>
    <w:p>
      <w:pPr>
        <w:pStyle w:val="20"/>
        <w:spacing w:after="0" w:line="400" w:lineRule="exact"/>
        <w:rPr>
          <w:rFonts w:hint="eastAsia" w:ascii="宋体" w:hAnsi="宋体" w:cs="宋体"/>
          <w:szCs w:val="21"/>
        </w:rPr>
      </w:pPr>
      <w:r>
        <w:rPr>
          <w:rFonts w:hint="eastAsia" w:ascii="宋体" w:hAnsi="宋体" w:cs="宋体"/>
          <w:szCs w:val="21"/>
        </w:rPr>
        <w:t>除另有约定外，</w:t>
      </w:r>
      <w:r>
        <w:rPr>
          <w:rFonts w:hint="eastAsia" w:ascii="宋体" w:hAnsi="宋体" w:cs="宋体"/>
          <w:kern w:val="0"/>
          <w:szCs w:val="21"/>
        </w:rPr>
        <w:t>身体健康、能正常工作、生活</w:t>
      </w:r>
      <w:r>
        <w:rPr>
          <w:rFonts w:hint="eastAsia" w:ascii="宋体" w:hAnsi="宋体" w:cs="宋体"/>
          <w:kern w:val="0"/>
          <w:szCs w:val="21"/>
          <w:lang w:val="en-US" w:eastAsia="zh-CN"/>
        </w:rPr>
        <w:t>的</w:t>
      </w:r>
      <w:r>
        <w:rPr>
          <w:rFonts w:hint="eastAsia" w:ascii="宋体" w:hAnsi="宋体" w:cs="宋体"/>
          <w:kern w:val="0"/>
          <w:szCs w:val="21"/>
        </w:rPr>
        <w:t>团体成员可作为本合同的被保险人</w:t>
      </w:r>
      <w:r>
        <w:rPr>
          <w:rFonts w:hint="eastAsia" w:ascii="宋体" w:hAnsi="宋体" w:cs="宋体"/>
          <w:kern w:val="0"/>
          <w:szCs w:val="21"/>
          <w:lang w:eastAsia="zh-CN"/>
        </w:rPr>
        <w:t>，</w:t>
      </w:r>
      <w:r>
        <w:rPr>
          <w:rFonts w:hint="eastAsia" w:ascii="宋体" w:hAnsi="宋体" w:cs="宋体"/>
          <w:szCs w:val="21"/>
        </w:rPr>
        <w:t>团体成员的配偶、子女、父母也可作为本保险合同的被保险人。无民事行为能力人和限制行为能力人不能作为本保险的被保险人，但父母同意为未成年子女投保本保险的不受此限。</w:t>
      </w:r>
      <w:r>
        <w:rPr>
          <w:rFonts w:hint="eastAsia" w:ascii="宋体" w:hAnsi="宋体" w:cs="宋体"/>
          <w:b/>
          <w:bCs/>
          <w:szCs w:val="21"/>
        </w:rPr>
        <w:t>对未成年人死亡给付的保险金总和不得超过国务院保险监督管理机构规定的限额。</w:t>
      </w:r>
    </w:p>
    <w:p>
      <w:pPr>
        <w:pStyle w:val="3"/>
        <w:spacing w:line="400" w:lineRule="exact"/>
        <w:ind w:left="0"/>
        <w:jc w:val="both"/>
        <w:rPr>
          <w:rFonts w:cs="宋体"/>
        </w:rPr>
      </w:pPr>
      <w:r>
        <w:rPr>
          <w:rFonts w:hint="eastAsia" w:cs="宋体"/>
        </w:rPr>
        <w:t>受益人</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本保险合同的受益人包括：</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（一）意外身故保险金受益人</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受益人由被保险人或者投保人指定。投保人指定或变更受益人时须经被保险人同意。投保人为与其有劳动关系的劳动者投保时，不得指定被保险人及其近亲属以外的人为受益人。被保险人为无民事行为能力人或者限制民事行为能力人的，可以由其监护人指定受益人。</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被保险人或者投保人可以指定一人或者数人为受益人。受益人为数人的，被保险人或者投保人可以确定受益顺序和受益份额；未确定受益份额的，受益人按照相等份额享有受益权。</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投保人或者被保险人指定数人为受益人，部分受益人在保险事故发生前死亡、放弃受益权或者依法丧失受益权的，该受益人应得的受益份额按照保险合同的约定处理；保险合同没有约定或者约定不明的，该受益人应得的受益份额按照以下情形分别处理：</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（1）未约定受益顺序和受益份额的，由其他受益人平均享有；</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（2）未约定受益顺序但约定受益份额的，由其他受益人按照相应比例享有；</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（3）约定受益顺序但未约定受益份额的，由同顺序的其他受益人平均享有；同一顺序没有其他受益人的，由后一顺序的受益人平均享有；</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（4）约定受益顺序和受益份额的，由同顺序的其他受益人按照相应比例享有；同一顺序没有其他受益人的，由后一顺序的受益人按照相应比例享有。</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被保险人死亡后，有下列情形之一的，保险金作为被保险人的遗产，由保险人依照《中华人民共和国民法典》的规定履行给付保险金的义务：</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（1）没有指定受益人，或者受益人指定不明无法确定的；</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（2）受益人先于被保险人死亡，没有其他受益人的；</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（3）受益人依法丧失受益权或者放弃受益权，没有其他受益人的。</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受益人与被保险人在同一事件中死亡，且不能确定死亡先后顺序的，推定受益人死亡在先。</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被保险人或投保人可以变更身故保险金受益人，但需书面通知保险人，由保险人在本保险合同上批注后生效。对因身故保险金受益人变更发生的法律纠纷，保险人不承担任何责任。</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受益人故意造成被保险人身故、伤残的，或者故意杀害被保险人未遂的，该受益人丧失受益权。</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投保人或者被保险人变更受益人未通知保险人，对保险人不发生效力。</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投保人或者被保险人在保险事故发生后变更受益人，变更后的受益人请求保险人给付保险金的，保险人不予给付。</w:t>
      </w:r>
    </w:p>
    <w:p>
      <w:pPr>
        <w:keepNext w:val="0"/>
        <w:keepLines w:val="0"/>
        <w:pageBreakBefore w:val="0"/>
        <w:widowControl w:val="0"/>
        <w:kinsoku/>
        <w:wordWrap/>
        <w:overflowPunct/>
        <w:topLinePunct w:val="0"/>
        <w:bidi w:val="0"/>
        <w:adjustRightInd/>
        <w:snapToGrid/>
        <w:spacing w:line="400" w:lineRule="exact"/>
        <w:ind w:firstLine="422" w:firstLineChars="200"/>
        <w:textAlignment w:val="auto"/>
        <w:rPr>
          <w:b/>
        </w:rPr>
      </w:pPr>
      <w:r>
        <w:rPr>
          <w:rFonts w:hint="eastAsia"/>
          <w:b/>
        </w:rPr>
        <w:t>投保人指定或变更意外身故保险金受益人的，应经被保险人书面同意。被保险人为无民事行为能力人或限制民事行为能力人的，应由其监护人指定或变更意外身故保险金受益人。</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（二）意外伤残保险金受益人</w:t>
      </w:r>
    </w:p>
    <w:p>
      <w:pPr>
        <w:pStyle w:val="20"/>
        <w:autoSpaceDE w:val="0"/>
        <w:autoSpaceDN w:val="0"/>
        <w:adjustRightInd w:val="0"/>
        <w:spacing w:after="0" w:line="400" w:lineRule="exact"/>
        <w:rPr>
          <w:rFonts w:hint="eastAsia" w:ascii="宋体" w:hAnsi="宋体" w:cs="宋体"/>
          <w:kern w:val="0"/>
          <w:szCs w:val="21"/>
        </w:rPr>
      </w:pPr>
      <w:r>
        <w:rPr>
          <w:rFonts w:hint="eastAsia" w:ascii="宋体" w:hAnsi="宋体" w:cs="宋体"/>
          <w:kern w:val="0"/>
          <w:szCs w:val="21"/>
        </w:rPr>
        <w:t>除另有约定外，本保险合同的伤残保险金的受益人为被保险人本人。</w:t>
      </w:r>
    </w:p>
    <w:p>
      <w:pPr>
        <w:autoSpaceDE w:val="0"/>
        <w:autoSpaceDN w:val="0"/>
        <w:spacing w:line="400" w:lineRule="exact"/>
        <w:ind w:firstLine="420"/>
        <w:rPr>
          <w:rFonts w:ascii="宋体" w:hAnsi="宋体" w:cs="宋体"/>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保障内容</w:t>
      </w:r>
    </w:p>
    <w:p>
      <w:pPr>
        <w:pStyle w:val="3"/>
        <w:spacing w:line="400" w:lineRule="exact"/>
        <w:ind w:left="0"/>
        <w:jc w:val="both"/>
        <w:rPr>
          <w:rFonts w:cs="宋体"/>
        </w:rPr>
      </w:pPr>
      <w:r>
        <w:rPr>
          <w:rFonts w:hint="eastAsia" w:cs="宋体"/>
        </w:rPr>
        <w:t>保险责任</w:t>
      </w:r>
    </w:p>
    <w:p>
      <w:pPr>
        <w:pStyle w:val="20"/>
        <w:autoSpaceDE w:val="0"/>
        <w:autoSpaceDN w:val="0"/>
        <w:adjustRightInd w:val="0"/>
        <w:spacing w:after="0" w:line="400" w:lineRule="exact"/>
        <w:rPr>
          <w:rFonts w:hint="eastAsia" w:ascii="宋体" w:hAnsi="宋体" w:cs="宋体"/>
          <w:szCs w:val="21"/>
        </w:rPr>
      </w:pPr>
      <w:r>
        <w:rPr>
          <w:rFonts w:hint="eastAsia" w:ascii="宋体" w:hAnsi="宋体" w:cs="宋体"/>
          <w:szCs w:val="21"/>
        </w:rPr>
        <w:t>本合同的保险责任包括“意外身故保险金”和“意外伤残保险金”两项责任。其中“意外身故保险金”和“意外伤残保险金”</w:t>
      </w:r>
      <w:r>
        <w:rPr>
          <w:rFonts w:hint="eastAsia" w:ascii="宋体" w:hAnsi="宋体" w:cs="宋体"/>
          <w:szCs w:val="21"/>
          <w:lang w:val="en-US" w:eastAsia="zh-CN"/>
        </w:rPr>
        <w:t>均</w:t>
      </w:r>
      <w:r>
        <w:rPr>
          <w:rFonts w:hint="eastAsia" w:ascii="宋体" w:hAnsi="宋体" w:cs="宋体"/>
          <w:szCs w:val="21"/>
        </w:rPr>
        <w:t>为可选责任。投保人可选择投保</w:t>
      </w:r>
      <w:r>
        <w:rPr>
          <w:rFonts w:hint="eastAsia" w:ascii="宋体" w:hAnsi="宋体" w:cs="宋体"/>
          <w:szCs w:val="21"/>
          <w:lang w:val="en-US" w:eastAsia="zh-CN"/>
        </w:rPr>
        <w:t>一个或多个</w:t>
      </w:r>
      <w:r>
        <w:rPr>
          <w:rFonts w:hint="eastAsia" w:ascii="宋体" w:hAnsi="宋体" w:cs="宋体"/>
          <w:szCs w:val="21"/>
        </w:rPr>
        <w:t>可选责任。</w:t>
      </w:r>
    </w:p>
    <w:p>
      <w:pPr>
        <w:pStyle w:val="20"/>
        <w:autoSpaceDE w:val="0"/>
        <w:autoSpaceDN w:val="0"/>
        <w:adjustRightInd w:val="0"/>
        <w:spacing w:after="0" w:line="400" w:lineRule="exact"/>
        <w:rPr>
          <w:rFonts w:hint="eastAsia" w:ascii="宋体" w:hAnsi="宋体" w:eastAsia="宋体" w:cs="宋体"/>
          <w:szCs w:val="21"/>
          <w:lang w:eastAsia="zh-CN"/>
        </w:rPr>
      </w:pPr>
      <w:r>
        <w:rPr>
          <w:rFonts w:hint="eastAsia" w:ascii="宋体" w:hAnsi="宋体" w:cs="宋体"/>
          <w:szCs w:val="21"/>
        </w:rPr>
        <w:t>（一）意外身故保险金</w:t>
      </w:r>
      <w:r>
        <w:rPr>
          <w:rFonts w:hint="eastAsia" w:ascii="宋体" w:hAnsi="宋体" w:cs="宋体"/>
          <w:szCs w:val="21"/>
          <w:lang w:eastAsia="zh-CN"/>
        </w:rPr>
        <w:t>（</w:t>
      </w:r>
      <w:r>
        <w:rPr>
          <w:rFonts w:hint="eastAsia" w:ascii="宋体" w:hAnsi="宋体" w:cs="宋体"/>
          <w:szCs w:val="21"/>
          <w:lang w:val="en-US" w:eastAsia="zh-CN"/>
        </w:rPr>
        <w:t>可选</w:t>
      </w:r>
      <w:r>
        <w:rPr>
          <w:rFonts w:hint="eastAsia" w:ascii="宋体" w:hAnsi="宋体" w:cs="宋体"/>
          <w:szCs w:val="21"/>
          <w:lang w:eastAsia="zh-CN"/>
        </w:rPr>
        <w:t>）</w:t>
      </w:r>
    </w:p>
    <w:p>
      <w:pPr>
        <w:pStyle w:val="20"/>
        <w:autoSpaceDE w:val="0"/>
        <w:autoSpaceDN w:val="0"/>
        <w:adjustRightInd w:val="0"/>
        <w:spacing w:after="0" w:line="400" w:lineRule="exact"/>
        <w:rPr>
          <w:rFonts w:hint="eastAsia" w:ascii="宋体" w:hAnsi="宋体" w:cs="宋体"/>
          <w:szCs w:val="21"/>
        </w:rPr>
      </w:pPr>
      <w:r>
        <w:rPr>
          <w:rFonts w:hint="eastAsia" w:ascii="宋体" w:hAnsi="宋体" w:cs="宋体"/>
          <w:szCs w:val="21"/>
        </w:rPr>
        <w:t>在保险期间内，被保险人遭受</w:t>
      </w:r>
      <w:r>
        <w:rPr>
          <w:rFonts w:hint="eastAsia" w:ascii="宋体" w:hAnsi="宋体" w:cs="宋体"/>
          <w:b/>
          <w:bCs/>
          <w:szCs w:val="21"/>
        </w:rPr>
        <w:t>意外伤害</w:t>
      </w:r>
      <w:r>
        <w:rPr>
          <w:rFonts w:hint="eastAsia" w:ascii="宋体" w:hAnsi="宋体" w:cs="宋体"/>
          <w:szCs w:val="21"/>
        </w:rPr>
        <w:t>（释义</w:t>
      </w:r>
      <w:r>
        <w:rPr>
          <w:rFonts w:hint="eastAsia" w:ascii="宋体" w:hAnsi="宋体" w:cs="宋体"/>
          <w:szCs w:val="21"/>
          <w:lang w:val="en-US" w:eastAsia="zh-CN"/>
        </w:rPr>
        <w:t>三</w:t>
      </w:r>
      <w:r>
        <w:rPr>
          <w:rFonts w:hint="eastAsia" w:ascii="宋体" w:hAnsi="宋体" w:cs="宋体"/>
          <w:szCs w:val="21"/>
        </w:rPr>
        <w:t>），并自该事故发生之日起180日内（含第180日）因该事故身故的，</w:t>
      </w:r>
      <w:r>
        <w:rPr>
          <w:rFonts w:hint="eastAsia" w:ascii="宋体" w:hAnsi="宋体" w:cs="宋体"/>
          <w:b/>
          <w:bCs/>
          <w:szCs w:val="21"/>
        </w:rPr>
        <w:t>保险人按本合同载明的意外身故保险金额给付意外身故保险金，给付意外身故保险金后对该被保险人的保险责任终止。</w:t>
      </w:r>
    </w:p>
    <w:p>
      <w:pPr>
        <w:pStyle w:val="20"/>
        <w:autoSpaceDE w:val="0"/>
        <w:autoSpaceDN w:val="0"/>
        <w:adjustRightInd w:val="0"/>
        <w:spacing w:after="0" w:line="400" w:lineRule="exact"/>
        <w:rPr>
          <w:rFonts w:hint="eastAsia" w:ascii="宋体" w:hAnsi="宋体" w:cs="宋体"/>
          <w:szCs w:val="21"/>
        </w:rPr>
      </w:pPr>
      <w:r>
        <w:rPr>
          <w:rFonts w:hint="eastAsia" w:ascii="宋体" w:hAnsi="宋体" w:cs="宋体"/>
          <w:szCs w:val="21"/>
        </w:rPr>
        <w:t>被保险人因遭受意外伤害事故且自该事故发生日起下落不明，后经人民法院宣告死亡的，保险人按本合同载明的意外伤害身故保险金额给付意外身故保险金。</w:t>
      </w:r>
      <w:r>
        <w:rPr>
          <w:rFonts w:hint="eastAsia" w:ascii="宋体" w:hAnsi="宋体" w:cs="宋体"/>
          <w:b/>
          <w:bCs/>
          <w:szCs w:val="21"/>
        </w:rPr>
        <w:t>但若被保险人被宣告死亡后生还的，保险金受领人应于知道或应当知道被保险人生还后30日内退还保险人给付的意外身故保险金。</w:t>
      </w:r>
    </w:p>
    <w:p>
      <w:pPr>
        <w:pStyle w:val="20"/>
        <w:autoSpaceDE w:val="0"/>
        <w:autoSpaceDN w:val="0"/>
        <w:adjustRightInd w:val="0"/>
        <w:spacing w:after="0" w:line="400" w:lineRule="exact"/>
        <w:rPr>
          <w:rFonts w:hint="eastAsia" w:ascii="宋体" w:hAnsi="宋体" w:cs="宋体"/>
          <w:b/>
          <w:bCs/>
          <w:szCs w:val="21"/>
        </w:rPr>
      </w:pPr>
      <w:r>
        <w:rPr>
          <w:rFonts w:hint="eastAsia" w:ascii="宋体" w:hAnsi="宋体" w:cs="宋体"/>
          <w:b/>
          <w:bCs/>
          <w:szCs w:val="21"/>
        </w:rPr>
        <w:t>若被保险人在意外身故前保险人已给付本条第（二）款约定的意外伤残保险金的，则保险人在给付意外身故保险金时应扣除已累计给付的意外伤残保险金。</w:t>
      </w:r>
    </w:p>
    <w:p>
      <w:pPr>
        <w:pStyle w:val="20"/>
        <w:autoSpaceDE w:val="0"/>
        <w:autoSpaceDN w:val="0"/>
        <w:adjustRightInd w:val="0"/>
        <w:spacing w:after="0" w:line="400" w:lineRule="exact"/>
        <w:rPr>
          <w:rFonts w:hint="eastAsia" w:ascii="宋体" w:hAnsi="宋体" w:eastAsia="宋体" w:cs="宋体"/>
          <w:szCs w:val="21"/>
          <w:lang w:eastAsia="zh-CN"/>
        </w:rPr>
      </w:pPr>
      <w:r>
        <w:rPr>
          <w:rFonts w:hint="eastAsia" w:ascii="宋体" w:hAnsi="宋体" w:cs="宋体"/>
          <w:szCs w:val="21"/>
        </w:rPr>
        <w:t>（二）意外伤残保险金</w:t>
      </w:r>
      <w:r>
        <w:rPr>
          <w:rFonts w:hint="eastAsia" w:ascii="宋体" w:hAnsi="宋体" w:cs="宋体"/>
          <w:szCs w:val="21"/>
          <w:lang w:eastAsia="zh-CN"/>
        </w:rPr>
        <w:t>（</w:t>
      </w:r>
      <w:r>
        <w:rPr>
          <w:rFonts w:hint="eastAsia" w:ascii="宋体" w:hAnsi="宋体" w:cs="宋体"/>
          <w:szCs w:val="21"/>
          <w:lang w:val="en-US" w:eastAsia="zh-CN"/>
        </w:rPr>
        <w:t>可选</w:t>
      </w:r>
      <w:r>
        <w:rPr>
          <w:rFonts w:hint="eastAsia" w:ascii="宋体" w:hAnsi="宋体" w:cs="宋体"/>
          <w:szCs w:val="21"/>
          <w:lang w:eastAsia="zh-CN"/>
        </w:rPr>
        <w:t>）</w:t>
      </w:r>
    </w:p>
    <w:p>
      <w:pPr>
        <w:pStyle w:val="20"/>
        <w:autoSpaceDE w:val="0"/>
        <w:autoSpaceDN w:val="0"/>
        <w:adjustRightInd w:val="0"/>
        <w:spacing w:after="0" w:line="400" w:lineRule="exact"/>
        <w:rPr>
          <w:rFonts w:hint="eastAsia" w:ascii="宋体" w:hAnsi="宋体" w:cs="宋体"/>
          <w:szCs w:val="21"/>
        </w:rPr>
      </w:pPr>
      <w:r>
        <w:rPr>
          <w:rFonts w:hint="eastAsia" w:ascii="宋体" w:hAnsi="宋体" w:cs="宋体"/>
          <w:szCs w:val="21"/>
        </w:rPr>
        <w:t>在保险期间内被保险人因遭受意外伤害，并自该意外伤害发生之日起180日（含第180日）内因该意外伤害造成被保险人</w:t>
      </w:r>
      <w:r>
        <w:rPr>
          <w:rFonts w:hint="eastAsia" w:ascii="宋体" w:hAnsi="宋体" w:cs="宋体"/>
          <w:b/>
          <w:bCs/>
          <w:szCs w:val="21"/>
        </w:rPr>
        <w:t>伤残</w:t>
      </w:r>
      <w:r>
        <w:rPr>
          <w:rFonts w:hint="eastAsia" w:ascii="宋体" w:hAnsi="宋体" w:cs="宋体"/>
          <w:b w:val="0"/>
          <w:bCs w:val="0"/>
          <w:szCs w:val="21"/>
          <w:lang w:eastAsia="zh-CN"/>
        </w:rPr>
        <w:t>（</w:t>
      </w:r>
      <w:r>
        <w:rPr>
          <w:rFonts w:hint="eastAsia" w:ascii="宋体" w:hAnsi="宋体" w:cs="宋体"/>
          <w:b w:val="0"/>
          <w:bCs w:val="0"/>
          <w:szCs w:val="21"/>
          <w:lang w:val="en-US" w:eastAsia="zh-CN"/>
        </w:rPr>
        <w:t>释义四</w:t>
      </w:r>
      <w:r>
        <w:rPr>
          <w:rFonts w:hint="eastAsia" w:ascii="宋体" w:hAnsi="宋体" w:cs="宋体"/>
          <w:b w:val="0"/>
          <w:bCs w:val="0"/>
          <w:szCs w:val="21"/>
          <w:lang w:eastAsia="zh-CN"/>
        </w:rPr>
        <w:t>）</w:t>
      </w:r>
      <w:r>
        <w:rPr>
          <w:rFonts w:hint="eastAsia" w:ascii="宋体" w:hAnsi="宋体" w:cs="宋体"/>
          <w:szCs w:val="21"/>
        </w:rPr>
        <w:t>并达到《人身保险伤残评定标准及代码》（保监发[2014]6号，标准编号为JR/T0083-2013，以下简称《评定标准》）所列伤残程度之一的，</w:t>
      </w:r>
      <w:r>
        <w:rPr>
          <w:rFonts w:hint="eastAsia" w:ascii="宋体" w:hAnsi="宋体" w:cs="宋体"/>
          <w:b/>
          <w:bCs/>
          <w:szCs w:val="21"/>
        </w:rPr>
        <w:t>保险人按《评定标准》所对应伤残等级的给付比例乘以约定的意外伤残保险金额</w:t>
      </w:r>
      <w:r>
        <w:rPr>
          <w:rFonts w:hint="eastAsia" w:ascii="宋体" w:hAnsi="宋体" w:cs="宋体"/>
          <w:szCs w:val="21"/>
        </w:rPr>
        <w:t>，承担向被保险人给付意外伤残保险金的责任。如被保险人自该意外伤害发生之日起180日后治疗仍未结束，则保险人按该意外伤害发生之日起第180日的身体情况进行伤残评定，并据此承担向被保险人给付意外伤残保险金的责任。</w:t>
      </w:r>
    </w:p>
    <w:p>
      <w:pPr>
        <w:pStyle w:val="20"/>
        <w:autoSpaceDE w:val="0"/>
        <w:autoSpaceDN w:val="0"/>
        <w:adjustRightInd w:val="0"/>
        <w:spacing w:after="0" w:line="400" w:lineRule="exact"/>
        <w:rPr>
          <w:rFonts w:hint="eastAsia" w:ascii="宋体" w:hAnsi="宋体" w:cs="宋体"/>
          <w:szCs w:val="21"/>
        </w:rPr>
      </w:pPr>
      <w:r>
        <w:rPr>
          <w:rFonts w:hint="eastAsia" w:ascii="宋体" w:hAnsi="宋体" w:cs="宋体"/>
          <w:szCs w:val="21"/>
        </w:rPr>
        <w:t>（1）被保险人因同一意外伤害造成两处或两处以上伤残时，保险人根据《评定标准》规定的多处伤残评定原则给付意外伤残保险金。</w:t>
      </w:r>
    </w:p>
    <w:p>
      <w:pPr>
        <w:pStyle w:val="20"/>
        <w:autoSpaceDE w:val="0"/>
        <w:autoSpaceDN w:val="0"/>
        <w:adjustRightInd w:val="0"/>
        <w:spacing w:after="0" w:line="400" w:lineRule="exact"/>
        <w:rPr>
          <w:rFonts w:hint="eastAsia" w:ascii="宋体" w:hAnsi="宋体" w:cs="宋体"/>
          <w:szCs w:val="21"/>
        </w:rPr>
      </w:pPr>
      <w:r>
        <w:rPr>
          <w:rFonts w:hint="eastAsia" w:ascii="宋体" w:hAnsi="宋体" w:cs="宋体"/>
          <w:szCs w:val="21"/>
        </w:rPr>
        <w:t>（2）被保险人如在本次意外伤害之前已有伤残，</w:t>
      </w:r>
      <w:r>
        <w:rPr>
          <w:rFonts w:hint="eastAsia" w:ascii="宋体" w:hAnsi="宋体" w:cs="宋体"/>
          <w:b/>
          <w:bCs/>
          <w:szCs w:val="21"/>
        </w:rPr>
        <w:t>保险人按合并后的伤残程度在评定标准中所对应伤残等级的给付比例扣除原有伤残程度在《评定标准》中所对应伤残等级的给付比例后</w:t>
      </w:r>
      <w:r>
        <w:rPr>
          <w:rFonts w:hint="eastAsia" w:ascii="宋体" w:hAnsi="宋体" w:cs="宋体"/>
          <w:szCs w:val="21"/>
        </w:rPr>
        <w:t>，乘以约定的意外伤残保险金额，承担向被保险人给付意外伤残保险金的责任。</w:t>
      </w:r>
    </w:p>
    <w:p>
      <w:pPr>
        <w:pStyle w:val="20"/>
        <w:autoSpaceDE w:val="0"/>
        <w:autoSpaceDN w:val="0"/>
        <w:adjustRightInd w:val="0"/>
        <w:spacing w:after="0" w:line="400" w:lineRule="exact"/>
        <w:rPr>
          <w:rFonts w:hint="eastAsia" w:ascii="宋体" w:hAnsi="宋体" w:cs="宋体"/>
          <w:szCs w:val="21"/>
        </w:rPr>
      </w:pPr>
      <w:r>
        <w:rPr>
          <w:rFonts w:hint="eastAsia" w:ascii="宋体" w:hAnsi="宋体" w:cs="宋体"/>
          <w:szCs w:val="21"/>
        </w:rPr>
        <w:t>若保险人累计给付的意外伤残保险金的金额达到本合同载明的意外伤残保险金额时，保险人对被保险人的本项保险责任终止。</w:t>
      </w:r>
    </w:p>
    <w:p>
      <w:pPr>
        <w:pStyle w:val="20"/>
        <w:autoSpaceDE w:val="0"/>
        <w:autoSpaceDN w:val="0"/>
        <w:adjustRightInd w:val="0"/>
        <w:spacing w:after="0" w:line="400" w:lineRule="exact"/>
        <w:ind w:firstLine="422"/>
        <w:rPr>
          <w:rFonts w:ascii="宋体" w:hAnsi="宋体" w:cs="宋体"/>
          <w:b/>
          <w:bCs/>
          <w:szCs w:val="21"/>
        </w:rPr>
      </w:pPr>
      <w:r>
        <w:rPr>
          <w:rFonts w:hint="eastAsia" w:ascii="宋体" w:hAnsi="宋体" w:cs="宋体"/>
          <w:b/>
          <w:bCs/>
          <w:szCs w:val="21"/>
        </w:rPr>
        <w:t>在保险期间内，若保险人上述两项责任下的累计给付保险金的总额达到本合同载明的总保险金额时，本合同终止。</w:t>
      </w:r>
    </w:p>
    <w:p>
      <w:pPr>
        <w:pStyle w:val="3"/>
        <w:spacing w:line="400" w:lineRule="exact"/>
        <w:ind w:left="0"/>
        <w:jc w:val="both"/>
        <w:rPr>
          <w:rFonts w:cs="宋体"/>
          <w:kern w:val="0"/>
        </w:rPr>
      </w:pPr>
      <w:r>
        <w:rPr>
          <w:rFonts w:hint="eastAsia" w:cs="宋体"/>
        </w:rPr>
        <w:t>犹豫期</w:t>
      </w:r>
    </w:p>
    <w:p>
      <w:pPr>
        <w:snapToGrid/>
        <w:spacing w:line="400" w:lineRule="exact"/>
        <w:ind w:firstLine="420"/>
        <w:rPr>
          <w:rFonts w:ascii="宋体" w:hAnsi="宋体" w:cs="宋体"/>
          <w:b/>
          <w:bCs/>
          <w:szCs w:val="21"/>
        </w:rPr>
      </w:pPr>
      <w:r>
        <w:rPr>
          <w:rFonts w:hint="eastAsia" w:ascii="宋体" w:hAnsi="宋体" w:cs="宋体"/>
          <w:szCs w:val="21"/>
        </w:rPr>
        <w:t>除另有约定外，自本合同生效之日零时起2日（含第2日）为犹豫期。在此期间请投保人认真审视本合同，如果投保人认为本合同与投保人的需求不相符，投保人可以在此期间提出解除本合同，</w:t>
      </w:r>
      <w:r>
        <w:rPr>
          <w:rFonts w:hint="eastAsia" w:ascii="宋体" w:hAnsi="宋体" w:cs="宋体"/>
          <w:bCs/>
          <w:szCs w:val="21"/>
        </w:rPr>
        <w:t>保险人将无息退还投保人所支付的全部保险费。</w:t>
      </w:r>
    </w:p>
    <w:p>
      <w:pPr>
        <w:numPr>
          <w:ilvl w:val="255"/>
          <w:numId w:val="0"/>
        </w:numPr>
        <w:snapToGrid/>
        <w:spacing w:line="400" w:lineRule="exact"/>
        <w:ind w:firstLine="422" w:firstLineChars="200"/>
        <w:rPr>
          <w:rFonts w:ascii="宋体" w:hAnsi="宋体" w:cs="宋体"/>
          <w:b/>
          <w:bCs/>
          <w:szCs w:val="21"/>
        </w:rPr>
      </w:pPr>
      <w:r>
        <w:rPr>
          <w:rFonts w:hint="eastAsia" w:ascii="宋体" w:hAnsi="宋体" w:cs="宋体"/>
          <w:b/>
          <w:bCs/>
          <w:szCs w:val="21"/>
        </w:rPr>
        <w:t>自保险人收到投保人解除合同的书面申请或双方认可的其他形式起，本合同即被解除，合同解除前发生的保险事故保险人不承担保险责任。</w:t>
      </w:r>
    </w:p>
    <w:p>
      <w:pPr>
        <w:snapToGrid/>
        <w:spacing w:line="400" w:lineRule="exact"/>
        <w:ind w:firstLine="420"/>
        <w:rPr>
          <w:rFonts w:ascii="宋体" w:hAnsi="宋体" w:cs="宋体"/>
          <w:b/>
          <w:bCs/>
          <w:szCs w:val="21"/>
        </w:rPr>
      </w:pPr>
      <w:r>
        <w:rPr>
          <w:rFonts w:hint="eastAsia" w:ascii="宋体" w:hAnsi="宋体" w:cs="宋体"/>
          <w:szCs w:val="21"/>
        </w:rPr>
        <w:t>投保人通过保险人同意或认可的网站等互联网渠道提出解除本合同的申请，视为投保人的书面申请。</w:t>
      </w:r>
    </w:p>
    <w:p>
      <w:pPr>
        <w:pStyle w:val="3"/>
        <w:spacing w:line="400" w:lineRule="exact"/>
        <w:ind w:left="0"/>
        <w:jc w:val="both"/>
        <w:rPr>
          <w:rFonts w:cs="宋体"/>
          <w:kern w:val="0"/>
        </w:rPr>
      </w:pPr>
      <w:r>
        <w:rPr>
          <w:rFonts w:hint="eastAsia" w:cs="宋体"/>
          <w:kern w:val="0"/>
        </w:rPr>
        <w:t>责任免除</w:t>
      </w:r>
    </w:p>
    <w:p>
      <w:pPr>
        <w:pStyle w:val="34"/>
        <w:spacing w:line="400" w:lineRule="exact"/>
        <w:ind w:firstLine="422"/>
        <w:rPr>
          <w:rFonts w:ascii="宋体" w:hAnsi="宋体" w:cs="宋体"/>
          <w:b/>
          <w:kern w:val="0"/>
          <w:szCs w:val="21"/>
        </w:rPr>
      </w:pPr>
      <w:r>
        <w:rPr>
          <w:rFonts w:hint="eastAsia" w:ascii="宋体" w:hAnsi="宋体" w:cs="宋体"/>
          <w:b/>
          <w:kern w:val="0"/>
          <w:szCs w:val="21"/>
        </w:rPr>
        <w:t>因下列原因造成被保险人身故或伤残的</w:t>
      </w:r>
      <w:r>
        <w:rPr>
          <w:rFonts w:hint="eastAsia" w:ascii="宋体" w:hAnsi="宋体" w:cs="宋体"/>
          <w:b/>
          <w:kern w:val="0"/>
          <w:szCs w:val="21"/>
          <w:lang w:val="en-US" w:eastAsia="zh-CN"/>
        </w:rPr>
        <w:t>或在</w:t>
      </w:r>
      <w:r>
        <w:rPr>
          <w:rFonts w:hint="eastAsia" w:ascii="宋体" w:hAnsi="宋体" w:cs="宋体"/>
          <w:b/>
          <w:kern w:val="0"/>
          <w:szCs w:val="21"/>
        </w:rPr>
        <w:t>下列期间遭受伤害导致身故、伤残的，保险人不承担给付保险金责任</w:t>
      </w:r>
      <w:r>
        <w:rPr>
          <w:rFonts w:hint="eastAsia" w:ascii="宋体" w:hAnsi="宋体" w:cs="宋体"/>
          <w:b/>
          <w:kern w:val="0"/>
          <w:szCs w:val="21"/>
          <w:lang w:eastAsia="zh-CN"/>
        </w:rPr>
        <w:t>：</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（一）投保人的故意</w:t>
      </w:r>
      <w:r>
        <w:rPr>
          <w:rFonts w:hint="eastAsia" w:asciiTheme="minorEastAsia" w:hAnsiTheme="minorEastAsia" w:eastAsiaTheme="minorEastAsia" w:cstheme="minorEastAsia"/>
          <w:b/>
          <w:kern w:val="0"/>
          <w:szCs w:val="21"/>
        </w:rPr>
        <w:t>或重大过失</w:t>
      </w:r>
      <w:r>
        <w:rPr>
          <w:rFonts w:hint="eastAsia" w:asciiTheme="minorEastAsia" w:hAnsiTheme="minorEastAsia" w:eastAsiaTheme="minorEastAsia" w:cstheme="minorEastAsia"/>
          <w:b/>
          <w:szCs w:val="21"/>
        </w:rPr>
        <w:t>行为；</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（二）被保险人故意自伤或自杀，但被保险人自杀时为无民事行为能力人的除外；</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（三）因被保险人挑衅或故意行为而导致的打斗、被袭击或被谋杀；</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（四）被保险人妊娠、流产、分娩、疾病、药物过敏、中暑、猝死（释义</w:t>
      </w:r>
      <w:r>
        <w:rPr>
          <w:rFonts w:hint="eastAsia" w:asciiTheme="minorEastAsia" w:hAnsiTheme="minorEastAsia" w:eastAsiaTheme="minorEastAsia" w:cstheme="minorEastAsia"/>
          <w:b/>
          <w:szCs w:val="21"/>
          <w:lang w:val="en-US" w:eastAsia="zh-CN"/>
        </w:rPr>
        <w:t>五</w:t>
      </w:r>
      <w:r>
        <w:rPr>
          <w:rFonts w:hint="eastAsia" w:asciiTheme="minorEastAsia" w:hAnsiTheme="minorEastAsia" w:eastAsiaTheme="minorEastAsia" w:cstheme="minorEastAsia"/>
          <w:b/>
          <w:szCs w:val="21"/>
        </w:rPr>
        <w:t>）；</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 w:val="21"/>
          <w:szCs w:val="21"/>
          <w:highlight w:val="none"/>
        </w:rPr>
        <w:t>（五）被保险人发生医疗事故或接受整容手术及其他内、外科手术时发生意外；</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（六）被保险人未遵医嘱，私自服用、涂用、注射药物；</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（七）任何生物、化学、原子能武器，原子能或核能装置所造成的爆炸、灼伤、污染或辐射；</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（八）恐怖袭击。</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九</w:t>
      </w:r>
      <w:r>
        <w:rPr>
          <w:rFonts w:hint="eastAsia" w:asciiTheme="minorEastAsia" w:hAnsiTheme="minorEastAsia" w:eastAsiaTheme="minorEastAsia" w:cstheme="minorEastAsia"/>
          <w:b/>
          <w:szCs w:val="21"/>
        </w:rPr>
        <w:t>）战争、军事行动、暴动或武装叛乱期间；</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十</w:t>
      </w:r>
      <w:r>
        <w:rPr>
          <w:rFonts w:hint="eastAsia" w:asciiTheme="minorEastAsia" w:hAnsiTheme="minorEastAsia" w:eastAsiaTheme="minorEastAsia" w:cstheme="minorEastAsia"/>
          <w:b/>
          <w:szCs w:val="21"/>
        </w:rPr>
        <w:t>）被保险人因从事违法、犯罪活动或在逃期间、被依法拘留、服刑期间；</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十一</w:t>
      </w:r>
      <w:r>
        <w:rPr>
          <w:rFonts w:hint="eastAsia" w:asciiTheme="minorEastAsia" w:hAnsiTheme="minorEastAsia" w:eastAsiaTheme="minorEastAsia" w:cstheme="minorEastAsia"/>
          <w:b/>
          <w:szCs w:val="21"/>
        </w:rPr>
        <w:t>）被保险人醉酒或受毒品、管制药物的影响期间；</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十二</w:t>
      </w:r>
      <w:r>
        <w:rPr>
          <w:rFonts w:hint="eastAsia" w:asciiTheme="minorEastAsia" w:hAnsiTheme="minorEastAsia" w:eastAsiaTheme="minorEastAsia" w:cstheme="minorEastAsia"/>
          <w:b/>
          <w:szCs w:val="21"/>
        </w:rPr>
        <w:t>）被保险人酒后驾车、无有效驾驶证（释义</w:t>
      </w:r>
      <w:r>
        <w:rPr>
          <w:rFonts w:hint="eastAsia" w:asciiTheme="minorEastAsia" w:hAnsiTheme="minorEastAsia" w:eastAsiaTheme="minorEastAsia" w:cstheme="minorEastAsia"/>
          <w:b/>
          <w:szCs w:val="21"/>
          <w:lang w:val="en-US" w:eastAsia="zh-CN"/>
        </w:rPr>
        <w:t>六</w:t>
      </w:r>
      <w:r>
        <w:rPr>
          <w:rFonts w:hint="eastAsia" w:asciiTheme="minorEastAsia" w:hAnsiTheme="minorEastAsia" w:eastAsiaTheme="minorEastAsia" w:cstheme="minorEastAsia"/>
          <w:b/>
          <w:szCs w:val="21"/>
        </w:rPr>
        <w:t>）驾驶或驾驶无有效行驶证（释义</w:t>
      </w:r>
      <w:r>
        <w:rPr>
          <w:rFonts w:hint="eastAsia" w:asciiTheme="minorEastAsia" w:hAnsiTheme="minorEastAsia" w:eastAsiaTheme="minorEastAsia" w:cstheme="minorEastAsia"/>
          <w:b/>
          <w:szCs w:val="21"/>
          <w:lang w:val="en-US" w:eastAsia="zh-CN"/>
        </w:rPr>
        <w:t>七</w:t>
      </w:r>
      <w:r>
        <w:rPr>
          <w:rFonts w:hint="eastAsia" w:asciiTheme="minorEastAsia" w:hAnsiTheme="minorEastAsia" w:eastAsiaTheme="minorEastAsia" w:cstheme="minorEastAsia"/>
          <w:b/>
          <w:szCs w:val="21"/>
        </w:rPr>
        <w:t>）的机动车期间；</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十三</w:t>
      </w:r>
      <w:r>
        <w:rPr>
          <w:rFonts w:hint="eastAsia" w:asciiTheme="minorEastAsia" w:hAnsiTheme="minorEastAsia" w:eastAsiaTheme="minorEastAsia" w:cstheme="minorEastAsia"/>
          <w:b/>
          <w:szCs w:val="21"/>
        </w:rPr>
        <w:t>）被保险人感染艾滋病病毒（HIV）或患艾滋病（AIDS）（释义</w:t>
      </w:r>
      <w:r>
        <w:rPr>
          <w:rFonts w:hint="eastAsia" w:asciiTheme="minorEastAsia" w:hAnsiTheme="minorEastAsia" w:eastAsiaTheme="minorEastAsia" w:cstheme="minorEastAsia"/>
          <w:b/>
          <w:szCs w:val="21"/>
          <w:lang w:val="en-US" w:eastAsia="zh-CN"/>
        </w:rPr>
        <w:t>八</w:t>
      </w:r>
      <w:r>
        <w:rPr>
          <w:rFonts w:hint="eastAsia" w:asciiTheme="minorEastAsia" w:hAnsiTheme="minorEastAsia" w:eastAsiaTheme="minorEastAsia" w:cstheme="minorEastAsia"/>
          <w:b/>
          <w:szCs w:val="21"/>
        </w:rPr>
        <w:t>）期间；</w:t>
      </w:r>
    </w:p>
    <w:p>
      <w:pPr>
        <w:spacing w:line="4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十四</w:t>
      </w:r>
      <w:r>
        <w:rPr>
          <w:rFonts w:hint="eastAsia" w:asciiTheme="minorEastAsia" w:hAnsiTheme="minorEastAsia" w:eastAsiaTheme="minorEastAsia" w:cstheme="minorEastAsia"/>
          <w:b/>
          <w:szCs w:val="21"/>
        </w:rPr>
        <w:t>）被保险人从事潜水（释义</w:t>
      </w:r>
      <w:r>
        <w:rPr>
          <w:rFonts w:hint="eastAsia" w:asciiTheme="minorEastAsia" w:hAnsiTheme="minorEastAsia" w:eastAsiaTheme="minorEastAsia" w:cstheme="minorEastAsia"/>
          <w:b/>
          <w:szCs w:val="21"/>
          <w:lang w:val="en-US" w:eastAsia="zh-CN"/>
        </w:rPr>
        <w:t>九</w:t>
      </w:r>
      <w:r>
        <w:rPr>
          <w:rFonts w:hint="eastAsia" w:asciiTheme="minorEastAsia" w:hAnsiTheme="minorEastAsia" w:eastAsiaTheme="minorEastAsia" w:cstheme="minorEastAsia"/>
          <w:b/>
          <w:szCs w:val="21"/>
        </w:rPr>
        <w:t>）、跳伞、攀岩运动（释义</w:t>
      </w:r>
      <w:r>
        <w:rPr>
          <w:rFonts w:hint="eastAsia" w:asciiTheme="minorEastAsia" w:hAnsiTheme="minorEastAsia" w:eastAsiaTheme="minorEastAsia" w:cstheme="minorEastAsia"/>
          <w:b/>
          <w:szCs w:val="21"/>
          <w:lang w:val="en-US" w:eastAsia="zh-CN"/>
        </w:rPr>
        <w:t>十</w:t>
      </w:r>
      <w:r>
        <w:rPr>
          <w:rFonts w:hint="eastAsia" w:asciiTheme="minorEastAsia" w:hAnsiTheme="minorEastAsia" w:eastAsiaTheme="minorEastAsia" w:cstheme="minorEastAsia"/>
          <w:b/>
          <w:szCs w:val="21"/>
        </w:rPr>
        <w:t>）、探险活动（释义十</w:t>
      </w:r>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）、武术比赛（释义十</w:t>
      </w:r>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）、摔跤比赛、特技（释义十</w:t>
      </w:r>
      <w:r>
        <w:rPr>
          <w:rFonts w:hint="eastAsia" w:asciiTheme="minorEastAsia" w:hAnsiTheme="minorEastAsia" w:eastAsiaTheme="minorEastAsia" w:cstheme="minorEastAsia"/>
          <w:b/>
          <w:szCs w:val="21"/>
          <w:lang w:val="en-US" w:eastAsia="zh-CN"/>
        </w:rPr>
        <w:t>三</w:t>
      </w:r>
      <w:r>
        <w:rPr>
          <w:rFonts w:hint="eastAsia" w:asciiTheme="minorEastAsia" w:hAnsiTheme="minorEastAsia" w:eastAsiaTheme="minorEastAsia" w:cstheme="minorEastAsia"/>
          <w:b/>
          <w:szCs w:val="21"/>
        </w:rPr>
        <w:t>）表演、赛马、赛车等高风险的活动期间。</w:t>
      </w:r>
    </w:p>
    <w:p>
      <w:pPr>
        <w:pStyle w:val="3"/>
        <w:spacing w:line="400" w:lineRule="exact"/>
        <w:ind w:left="0"/>
        <w:jc w:val="both"/>
        <w:rPr>
          <w:rFonts w:cs="宋体"/>
          <w:kern w:val="0"/>
        </w:rPr>
      </w:pPr>
      <w:r>
        <w:rPr>
          <w:rFonts w:hint="eastAsia" w:cs="宋体"/>
          <w:kern w:val="0"/>
        </w:rPr>
        <w:t>保险金额</w:t>
      </w:r>
    </w:p>
    <w:p>
      <w:pPr>
        <w:pStyle w:val="20"/>
        <w:autoSpaceDE w:val="0"/>
        <w:autoSpaceDN w:val="0"/>
        <w:adjustRightInd w:val="0"/>
        <w:spacing w:after="0" w:line="400" w:lineRule="exact"/>
        <w:ind w:firstLine="422"/>
        <w:rPr>
          <w:rFonts w:hint="eastAsia" w:ascii="宋体" w:hAnsi="宋体" w:cs="宋体"/>
          <w:bCs/>
          <w:kern w:val="0"/>
          <w:szCs w:val="21"/>
          <w:lang w:eastAsia="zh-CN"/>
        </w:rPr>
      </w:pPr>
      <w:r>
        <w:rPr>
          <w:rFonts w:hint="eastAsia" w:ascii="宋体" w:hAnsi="宋体" w:cs="宋体"/>
          <w:b/>
          <w:kern w:val="0"/>
          <w:szCs w:val="21"/>
        </w:rPr>
        <w:t>保险金额是保险人承担给付保险金责任的最高限额。</w:t>
      </w:r>
      <w:r>
        <w:rPr>
          <w:rFonts w:hint="eastAsia" w:ascii="宋体" w:hAnsi="宋体" w:cs="宋体"/>
          <w:bCs/>
          <w:kern w:val="0"/>
          <w:szCs w:val="21"/>
        </w:rPr>
        <w:t>本合同</w:t>
      </w:r>
      <w:r>
        <w:rPr>
          <w:rFonts w:hint="eastAsia" w:ascii="宋体" w:hAnsi="宋体" w:cs="宋体"/>
          <w:bCs/>
          <w:szCs w:val="21"/>
        </w:rPr>
        <w:t>中的意外</w:t>
      </w:r>
      <w:r>
        <w:rPr>
          <w:rFonts w:hint="eastAsia" w:ascii="宋体" w:hAnsi="宋体" w:cs="宋体"/>
          <w:bCs/>
          <w:szCs w:val="21"/>
          <w:lang w:val="en-US" w:eastAsia="zh-CN"/>
        </w:rPr>
        <w:t>身故</w:t>
      </w:r>
      <w:r>
        <w:rPr>
          <w:rFonts w:hint="eastAsia" w:ascii="宋体" w:hAnsi="宋体" w:cs="宋体"/>
          <w:bCs/>
          <w:szCs w:val="21"/>
        </w:rPr>
        <w:t>保险金额、</w:t>
      </w:r>
      <w:r>
        <w:rPr>
          <w:rFonts w:hint="eastAsia" w:ascii="宋体" w:hAnsi="宋体" w:cs="宋体"/>
          <w:bCs/>
          <w:szCs w:val="21"/>
          <w:lang w:val="en-US" w:eastAsia="zh-CN"/>
        </w:rPr>
        <w:t>意外伤残</w:t>
      </w:r>
      <w:r>
        <w:rPr>
          <w:rFonts w:hint="eastAsia" w:ascii="宋体" w:hAnsi="宋体" w:cs="宋体"/>
          <w:bCs/>
          <w:szCs w:val="21"/>
        </w:rPr>
        <w:t>保险金额和总保险金额</w:t>
      </w:r>
      <w:r>
        <w:rPr>
          <w:rFonts w:hint="eastAsia" w:ascii="宋体" w:hAnsi="宋体" w:cs="宋体"/>
          <w:bCs/>
          <w:kern w:val="0"/>
          <w:szCs w:val="21"/>
        </w:rPr>
        <w:t>由投保人、保险人双方约定，并在本合同中载明</w:t>
      </w:r>
      <w:r>
        <w:rPr>
          <w:rFonts w:hint="eastAsia" w:ascii="宋体" w:hAnsi="宋体" w:cs="宋体"/>
          <w:bCs/>
          <w:kern w:val="0"/>
          <w:szCs w:val="21"/>
          <w:lang w:eastAsia="zh-CN"/>
        </w:rPr>
        <w:t>。</w:t>
      </w:r>
    </w:p>
    <w:p>
      <w:pPr>
        <w:pStyle w:val="20"/>
        <w:autoSpaceDE w:val="0"/>
        <w:autoSpaceDN w:val="0"/>
        <w:adjustRightInd w:val="0"/>
        <w:spacing w:after="0" w:line="400" w:lineRule="exact"/>
        <w:ind w:firstLine="422"/>
        <w:rPr>
          <w:rFonts w:hint="eastAsia" w:ascii="宋体" w:hAnsi="宋体" w:cs="宋体"/>
          <w:b/>
          <w:bCs w:val="0"/>
          <w:kern w:val="0"/>
          <w:szCs w:val="21"/>
          <w:lang w:eastAsia="zh-CN"/>
        </w:rPr>
      </w:pPr>
      <w:r>
        <w:rPr>
          <w:rFonts w:hint="eastAsia" w:ascii="宋体" w:hAnsi="宋体" w:cs="宋体"/>
          <w:b/>
          <w:bCs w:val="0"/>
          <w:kern w:val="0"/>
          <w:szCs w:val="21"/>
          <w:lang w:eastAsia="zh-CN"/>
        </w:rPr>
        <w:t>本合同的</w:t>
      </w:r>
      <w:r>
        <w:rPr>
          <w:rFonts w:hint="eastAsia" w:ascii="宋体" w:hAnsi="宋体" w:cs="宋体"/>
          <w:b/>
          <w:bCs w:val="0"/>
          <w:kern w:val="0"/>
          <w:szCs w:val="21"/>
          <w:lang w:val="en-US" w:eastAsia="zh-CN"/>
        </w:rPr>
        <w:t>意外</w:t>
      </w:r>
      <w:r>
        <w:rPr>
          <w:rFonts w:hint="eastAsia" w:ascii="宋体" w:hAnsi="宋体" w:cs="宋体"/>
          <w:b/>
          <w:bCs w:val="0"/>
          <w:kern w:val="0"/>
          <w:szCs w:val="21"/>
          <w:lang w:eastAsia="zh-CN"/>
        </w:rPr>
        <w:t>身故保险金额，应由被保险人同意并认可。</w:t>
      </w:r>
    </w:p>
    <w:p>
      <w:pPr>
        <w:pStyle w:val="3"/>
        <w:spacing w:line="400" w:lineRule="exact"/>
        <w:ind w:left="0"/>
        <w:jc w:val="both"/>
        <w:rPr>
          <w:rFonts w:cs="宋体"/>
          <w:kern w:val="0"/>
        </w:rPr>
      </w:pPr>
      <w:r>
        <w:rPr>
          <w:rFonts w:hint="eastAsia" w:cs="宋体"/>
          <w:kern w:val="0"/>
        </w:rPr>
        <w:t>保险期间与不保证续保</w:t>
      </w:r>
    </w:p>
    <w:p>
      <w:pPr>
        <w:pStyle w:val="20"/>
        <w:spacing w:after="0" w:line="400" w:lineRule="exact"/>
        <w:ind w:firstLine="422"/>
        <w:rPr>
          <w:rFonts w:ascii="宋体" w:hAnsi="宋体" w:cs="宋体"/>
          <w:b/>
          <w:bCs/>
          <w:szCs w:val="21"/>
        </w:rPr>
      </w:pPr>
      <w:r>
        <w:rPr>
          <w:rFonts w:hint="eastAsia" w:ascii="宋体" w:hAnsi="宋体" w:cs="宋体"/>
          <w:b/>
          <w:bCs/>
          <w:szCs w:val="21"/>
        </w:rPr>
        <w:t>本合同为不保证续保合同，保险期间为一年（或不超过一年）。</w:t>
      </w:r>
      <w:r>
        <w:rPr>
          <w:rFonts w:hint="eastAsia" w:ascii="宋体" w:hAnsi="宋体" w:cs="宋体"/>
          <w:szCs w:val="21"/>
        </w:rPr>
        <w:t>保险期间届满，投保人需要重新向保险人申请投保本产品，</w:t>
      </w:r>
      <w:bookmarkStart w:id="0" w:name="_Hlk74832600"/>
      <w:r>
        <w:rPr>
          <w:rFonts w:hint="eastAsia" w:ascii="宋体" w:hAnsi="宋体" w:cs="宋体"/>
          <w:szCs w:val="21"/>
        </w:rPr>
        <w:t>并经保险人同意，交纳保险费，获得新的保险合同。</w:t>
      </w:r>
      <w:bookmarkEnd w:id="0"/>
    </w:p>
    <w:p>
      <w:pPr>
        <w:pStyle w:val="20"/>
        <w:spacing w:after="0" w:line="400" w:lineRule="exact"/>
        <w:ind w:firstLine="422"/>
        <w:rPr>
          <w:rFonts w:ascii="宋体" w:hAnsi="宋体" w:cs="宋体"/>
          <w:b/>
          <w:bCs/>
          <w:szCs w:val="21"/>
        </w:rPr>
      </w:pPr>
      <w:bookmarkStart w:id="1" w:name="_Hlk74833298"/>
      <w:r>
        <w:rPr>
          <w:rFonts w:hint="eastAsia" w:ascii="宋体" w:hAnsi="宋体" w:cs="宋体"/>
          <w:b/>
          <w:bCs/>
          <w:szCs w:val="21"/>
        </w:rPr>
        <w:t>若保险期间届满时，本合同对应保险产品统一停售，保险人将不再接受投保申请。</w:t>
      </w:r>
    </w:p>
    <w:p>
      <w:pPr>
        <w:pStyle w:val="20"/>
        <w:spacing w:after="0" w:line="400" w:lineRule="exact"/>
        <w:rPr>
          <w:rFonts w:ascii="宋体" w:hAnsi="宋体" w:cs="宋体"/>
          <w:szCs w:val="21"/>
        </w:rPr>
      </w:pPr>
    </w:p>
    <w:bookmarkEnd w:id="1"/>
    <w:p>
      <w:pPr>
        <w:pStyle w:val="2"/>
        <w:spacing w:before="0" w:after="0" w:line="400" w:lineRule="exact"/>
        <w:ind w:left="0"/>
        <w:rPr>
          <w:rFonts w:ascii="宋体" w:hAnsi="宋体" w:cs="宋体"/>
          <w:szCs w:val="21"/>
        </w:rPr>
      </w:pPr>
      <w:r>
        <w:rPr>
          <w:rFonts w:hint="eastAsia" w:ascii="宋体" w:hAnsi="宋体" w:cs="宋体"/>
          <w:szCs w:val="21"/>
        </w:rPr>
        <w:t>保险人的义务</w:t>
      </w:r>
    </w:p>
    <w:p>
      <w:pPr>
        <w:pStyle w:val="3"/>
        <w:spacing w:line="400" w:lineRule="exact"/>
        <w:ind w:left="0"/>
        <w:jc w:val="both"/>
        <w:rPr>
          <w:rFonts w:cs="宋体"/>
        </w:rPr>
      </w:pPr>
      <w:r>
        <w:rPr>
          <w:rFonts w:hint="eastAsia" w:cs="宋体"/>
        </w:rPr>
        <w:t>提示和说明</w:t>
      </w:r>
    </w:p>
    <w:p>
      <w:pPr>
        <w:pStyle w:val="20"/>
        <w:spacing w:after="0" w:line="400" w:lineRule="exact"/>
        <w:rPr>
          <w:rFonts w:ascii="宋体" w:hAnsi="宋体" w:cs="宋体"/>
          <w:szCs w:val="21"/>
        </w:rPr>
      </w:pPr>
      <w:r>
        <w:rPr>
          <w:rFonts w:hint="eastAsia" w:ascii="宋体" w:hAnsi="宋体" w:cs="宋体"/>
          <w:bCs/>
          <w:szCs w:val="21"/>
        </w:rPr>
        <w:t>订立本合同时，保险人会向投保人说明本合同的内容。对本合同中免除保险人责任的条款，保险人在订立合同时应当在投保单、保险单或其他保险凭证上作出足以引起投保人注意的提示，并对该条款的内容以书面或口头形式向投保人作出明确说明；未作提示或者明确说明的，该条款不产生效力。</w:t>
      </w:r>
    </w:p>
    <w:p>
      <w:pPr>
        <w:pStyle w:val="3"/>
        <w:spacing w:line="400" w:lineRule="exact"/>
        <w:ind w:left="0"/>
        <w:jc w:val="both"/>
        <w:rPr>
          <w:rFonts w:cs="宋体"/>
        </w:rPr>
      </w:pPr>
      <w:r>
        <w:rPr>
          <w:rFonts w:hint="eastAsia" w:cs="宋体"/>
        </w:rPr>
        <w:t>保险单和保险凭证</w:t>
      </w:r>
    </w:p>
    <w:p>
      <w:pPr>
        <w:pStyle w:val="20"/>
        <w:spacing w:after="0" w:line="400" w:lineRule="exact"/>
        <w:rPr>
          <w:rFonts w:ascii="宋体" w:hAnsi="宋体" w:cs="宋体"/>
          <w:szCs w:val="21"/>
        </w:rPr>
      </w:pPr>
      <w:r>
        <w:rPr>
          <w:rFonts w:hint="eastAsia" w:ascii="宋体" w:hAnsi="宋体" w:cs="宋体"/>
          <w:bCs/>
          <w:szCs w:val="21"/>
        </w:rPr>
        <w:t>本合同成立后，保险人将向投保人签发保险单或其他保险凭证。</w:t>
      </w:r>
    </w:p>
    <w:p>
      <w:pPr>
        <w:pStyle w:val="3"/>
        <w:spacing w:line="400" w:lineRule="exact"/>
        <w:ind w:left="0"/>
        <w:jc w:val="both"/>
        <w:rPr>
          <w:rFonts w:cs="宋体"/>
        </w:rPr>
      </w:pPr>
      <w:r>
        <w:rPr>
          <w:rFonts w:hint="eastAsia" w:cs="宋体"/>
        </w:rPr>
        <w:t>保险金的给付</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保险人收到被保险人或受益人的给付保险金的请求后，应当及时作出是否属于保险责任的核定；情形复杂的，应当在三十日内作出核定，但保险合同另有约定的除外。</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人将核定结果通知被保险人或受益人；对属于保险责任的，在与被保险人或受益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或受益人发出拒绝给付保险金通知书，并说明理由。</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保险人自收到给付保险金的请求和有关证明、资料之日起六十日内，对其给付的数额不能确定的，应当根据已有证明和资料可以确定的数额先予支付；保险人最终确定给付的数额后，支付相应的差额。</w:t>
      </w:r>
    </w:p>
    <w:p>
      <w:pPr>
        <w:pStyle w:val="3"/>
        <w:spacing w:line="400" w:lineRule="exact"/>
        <w:ind w:left="0"/>
        <w:jc w:val="both"/>
        <w:rPr>
          <w:rFonts w:cs="宋体"/>
        </w:rPr>
      </w:pPr>
      <w:r>
        <w:rPr>
          <w:rFonts w:hint="eastAsia" w:cs="宋体"/>
        </w:rPr>
        <w:t>索赔资料不完整通知</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保险人认为被保险人或受益人提供的有关索赔的证明和资料不完整的，应当及时一次性通知投保人、被保险人或受益人补充提供。</w:t>
      </w:r>
    </w:p>
    <w:p>
      <w:pPr>
        <w:autoSpaceDE w:val="0"/>
        <w:autoSpaceDN w:val="0"/>
        <w:snapToGrid/>
        <w:spacing w:line="400" w:lineRule="exact"/>
        <w:ind w:firstLine="420"/>
        <w:rPr>
          <w:rFonts w:ascii="宋体" w:hAnsi="宋体" w:cs="宋体"/>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投保人、被保险人义务</w:t>
      </w:r>
    </w:p>
    <w:p>
      <w:pPr>
        <w:pStyle w:val="3"/>
        <w:spacing w:line="400" w:lineRule="exact"/>
        <w:ind w:left="0"/>
        <w:jc w:val="both"/>
        <w:rPr>
          <w:rFonts w:cs="宋体"/>
        </w:rPr>
      </w:pPr>
      <w:r>
        <w:rPr>
          <w:rFonts w:hint="eastAsia" w:cs="宋体"/>
        </w:rPr>
        <w:t>交费义务</w:t>
      </w:r>
    </w:p>
    <w:p>
      <w:pPr>
        <w:autoSpaceDE w:val="0"/>
        <w:autoSpaceDN w:val="0"/>
        <w:snapToGrid/>
        <w:spacing w:line="400" w:lineRule="exact"/>
        <w:ind w:firstLine="420"/>
        <w:rPr>
          <w:rFonts w:ascii="宋体" w:hAnsi="宋体" w:cs="宋体"/>
          <w:b/>
          <w:bCs/>
          <w:kern w:val="0"/>
          <w:szCs w:val="21"/>
        </w:rPr>
      </w:pPr>
      <w:r>
        <w:rPr>
          <w:rFonts w:hint="eastAsia" w:ascii="宋体" w:hAnsi="宋体" w:cs="宋体"/>
          <w:kern w:val="0"/>
          <w:szCs w:val="21"/>
          <w:lang w:val="en-US" w:eastAsia="zh-CN"/>
        </w:rPr>
        <w:t>除另有约定外，</w:t>
      </w:r>
      <w:r>
        <w:rPr>
          <w:rFonts w:hint="eastAsia" w:ascii="宋体" w:hAnsi="宋体" w:cs="宋体"/>
          <w:kern w:val="0"/>
          <w:szCs w:val="21"/>
        </w:rPr>
        <w:t>投保人应当在本合同成立时交清保险费。</w:t>
      </w:r>
      <w:r>
        <w:rPr>
          <w:rFonts w:hint="eastAsia" w:ascii="宋体" w:hAnsi="宋体" w:cs="宋体"/>
          <w:b/>
          <w:bCs/>
          <w:kern w:val="0"/>
          <w:szCs w:val="21"/>
        </w:rPr>
        <w:t>保险费交清前，本合同不生效。对合同生效前发生的保险事故，保险人不承担保险责任。</w:t>
      </w:r>
    </w:p>
    <w:p>
      <w:pPr>
        <w:pStyle w:val="3"/>
        <w:spacing w:line="400" w:lineRule="exact"/>
        <w:ind w:left="0"/>
        <w:jc w:val="both"/>
        <w:rPr>
          <w:rFonts w:cs="宋体"/>
        </w:rPr>
      </w:pPr>
      <w:r>
        <w:rPr>
          <w:rFonts w:hint="eastAsia" w:cs="宋体"/>
        </w:rPr>
        <w:t>如实告知</w:t>
      </w:r>
    </w:p>
    <w:p>
      <w:pPr>
        <w:pStyle w:val="20"/>
        <w:autoSpaceDE w:val="0"/>
        <w:autoSpaceDN w:val="0"/>
        <w:adjustRightInd w:val="0"/>
        <w:spacing w:after="0" w:line="400" w:lineRule="exact"/>
        <w:rPr>
          <w:rFonts w:ascii="宋体" w:hAnsi="宋体" w:cs="宋体"/>
          <w:szCs w:val="21"/>
        </w:rPr>
      </w:pPr>
      <w:r>
        <w:rPr>
          <w:rFonts w:hint="eastAsia" w:ascii="宋体" w:hAnsi="宋体" w:cs="宋体"/>
          <w:szCs w:val="21"/>
        </w:rPr>
        <w:t>投保人应如实填写投保单并回答保险人提出的询问，履行如实告知义务。</w:t>
      </w:r>
    </w:p>
    <w:p>
      <w:pPr>
        <w:pStyle w:val="20"/>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投保人故意或者因重大过失未履行前款规定的如实告知义务，足以影响保险人决定是否同意承保或者提高保险费率的，保险人有权解除合同。</w:t>
      </w:r>
    </w:p>
    <w:p>
      <w:pPr>
        <w:pStyle w:val="20"/>
        <w:autoSpaceDE w:val="0"/>
        <w:autoSpaceDN w:val="0"/>
        <w:adjustRightInd w:val="0"/>
        <w:spacing w:after="0" w:line="400" w:lineRule="exact"/>
        <w:rPr>
          <w:rFonts w:ascii="宋体" w:hAnsi="宋体" w:cs="宋体"/>
          <w:szCs w:val="21"/>
        </w:rPr>
      </w:pPr>
      <w:r>
        <w:rPr>
          <w:rFonts w:hint="eastAsia" w:ascii="宋体" w:hAnsi="宋体" w:cs="宋体"/>
          <w:szCs w:val="21"/>
        </w:rPr>
        <w:t>前款规定的合同解除权，自保险人知道有解除事由之日起，超过三十日不行使而消灭。</w:t>
      </w:r>
    </w:p>
    <w:p>
      <w:pPr>
        <w:pStyle w:val="20"/>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投保人故意不履行如实告知义务的，保险人对于合同解除前发生的保险事故，不承担给付保险金的责任，并不退还保险费。</w:t>
      </w:r>
    </w:p>
    <w:p>
      <w:pPr>
        <w:pStyle w:val="20"/>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投保人因重大过失未履行如实告知义务，对保险事故的发生有严重影响的，保险人对于合同解除前发生的保险事故，不承担给付保险金的责任，但应当退还保险费。</w:t>
      </w:r>
    </w:p>
    <w:p>
      <w:pPr>
        <w:pStyle w:val="20"/>
        <w:autoSpaceDE w:val="0"/>
        <w:autoSpaceDN w:val="0"/>
        <w:adjustRightInd w:val="0"/>
        <w:spacing w:after="0" w:line="400" w:lineRule="exact"/>
        <w:rPr>
          <w:rFonts w:ascii="宋体" w:hAnsi="宋体" w:cs="宋体"/>
          <w:szCs w:val="21"/>
        </w:rPr>
      </w:pPr>
      <w:r>
        <w:rPr>
          <w:rFonts w:hint="eastAsia" w:ascii="宋体" w:hAnsi="宋体" w:cs="宋体"/>
          <w:szCs w:val="21"/>
        </w:rPr>
        <w:t>保险人在合同订立时已经知道投保人未如实告知的情况的，保险人不得解除合同；发生保险事故的，保险人应当承担给付保险金的责任。</w:t>
      </w:r>
    </w:p>
    <w:p>
      <w:pPr>
        <w:pStyle w:val="3"/>
        <w:spacing w:line="400" w:lineRule="exact"/>
        <w:ind w:left="0"/>
        <w:jc w:val="both"/>
        <w:rPr>
          <w:rFonts w:cs="宋体"/>
        </w:rPr>
      </w:pPr>
      <w:r>
        <w:rPr>
          <w:rFonts w:hint="eastAsia" w:cs="宋体"/>
        </w:rPr>
        <w:t>住址、通讯地址或数据电文联系方式变更告知义务</w:t>
      </w:r>
    </w:p>
    <w:p>
      <w:pPr>
        <w:pStyle w:val="20"/>
        <w:autoSpaceDE w:val="0"/>
        <w:autoSpaceDN w:val="0"/>
        <w:adjustRightInd w:val="0"/>
        <w:spacing w:after="0" w:line="400" w:lineRule="exact"/>
        <w:rPr>
          <w:rFonts w:ascii="宋体" w:hAnsi="宋体" w:cs="宋体"/>
          <w:szCs w:val="21"/>
        </w:rPr>
      </w:pPr>
      <w:r>
        <w:rPr>
          <w:rFonts w:hint="eastAsia" w:ascii="宋体" w:hAnsi="宋体" w:cs="宋体"/>
          <w:szCs w:val="21"/>
        </w:rPr>
        <w:t>投保人住址、通讯地址或数据电文联系方式变更时，应及时以书面形式或双方认可的其他形式通知保险人。投保人未通知的，保险人按本合同所载的最后住址、通讯地址或数据电文联系方式发送的有关通知，均视为已发送给投保人。</w:t>
      </w:r>
    </w:p>
    <w:p>
      <w:pPr>
        <w:pStyle w:val="3"/>
        <w:spacing w:line="400" w:lineRule="exact"/>
        <w:ind w:left="0"/>
        <w:jc w:val="both"/>
        <w:rPr>
          <w:rFonts w:cs="宋体"/>
        </w:rPr>
      </w:pPr>
      <w:r>
        <w:rPr>
          <w:rFonts w:hint="eastAsia" w:cs="宋体"/>
        </w:rPr>
        <w:t>被保险人变动</w:t>
      </w:r>
    </w:p>
    <w:p>
      <w:pPr>
        <w:pStyle w:val="23"/>
        <w:numPr>
          <w:ilvl w:val="0"/>
          <w:numId w:val="5"/>
        </w:numPr>
        <w:tabs>
          <w:tab w:val="left" w:pos="425"/>
        </w:tabs>
        <w:autoSpaceDE w:val="0"/>
        <w:autoSpaceDN w:val="0"/>
        <w:snapToGrid/>
        <w:spacing w:line="400" w:lineRule="exact"/>
        <w:rPr>
          <w:rFonts w:ascii="宋体" w:hAnsi="宋体" w:cs="宋体"/>
          <w:bCs/>
          <w:szCs w:val="21"/>
        </w:rPr>
      </w:pPr>
      <w:r>
        <w:rPr>
          <w:rFonts w:hint="eastAsia" w:ascii="宋体" w:hAnsi="宋体" w:cs="宋体"/>
          <w:bCs/>
          <w:szCs w:val="21"/>
        </w:rPr>
        <w:t>在保险期间内，投保人因人员变动，需增加、减少被保险人时，应以书面形式向保险人提出申请。保险人同意后出具批单，并在本合同中批注。</w:t>
      </w:r>
    </w:p>
    <w:p>
      <w:pPr>
        <w:pStyle w:val="23"/>
        <w:numPr>
          <w:ilvl w:val="0"/>
          <w:numId w:val="5"/>
        </w:numPr>
        <w:tabs>
          <w:tab w:val="left" w:pos="425"/>
        </w:tabs>
        <w:autoSpaceDE w:val="0"/>
        <w:autoSpaceDN w:val="0"/>
        <w:snapToGrid/>
        <w:spacing w:line="400" w:lineRule="exact"/>
        <w:rPr>
          <w:rFonts w:ascii="宋体" w:hAnsi="宋体" w:cs="宋体"/>
          <w:bCs/>
          <w:szCs w:val="21"/>
        </w:rPr>
      </w:pPr>
      <w:r>
        <w:rPr>
          <w:rFonts w:hint="eastAsia" w:ascii="宋体" w:hAnsi="宋体" w:cs="宋体"/>
          <w:bCs/>
          <w:szCs w:val="21"/>
        </w:rPr>
        <w:t>被保险人人数增加时，保险人在审核同意后，于收到申请之日的次日零时开始承担保险责任，并按约定增收保险费。</w:t>
      </w:r>
    </w:p>
    <w:p>
      <w:pPr>
        <w:pStyle w:val="23"/>
        <w:numPr>
          <w:ilvl w:val="0"/>
          <w:numId w:val="5"/>
        </w:numPr>
        <w:tabs>
          <w:tab w:val="left" w:pos="425"/>
        </w:tabs>
        <w:autoSpaceDE w:val="0"/>
        <w:autoSpaceDN w:val="0"/>
        <w:snapToGrid/>
        <w:spacing w:line="400" w:lineRule="exact"/>
        <w:ind w:firstLine="422"/>
        <w:rPr>
          <w:rFonts w:ascii="宋体" w:hAnsi="宋体" w:cs="宋体"/>
          <w:b/>
          <w:bCs/>
          <w:szCs w:val="21"/>
        </w:rPr>
      </w:pPr>
      <w:r>
        <w:rPr>
          <w:rFonts w:hint="eastAsia" w:ascii="宋体" w:hAnsi="宋体" w:cs="宋体"/>
          <w:b/>
          <w:bCs/>
          <w:szCs w:val="21"/>
        </w:rPr>
        <w:t>被保险人人数减少时，保险人在审核同意后，于收到申请之日的次日零时起，对减少的被保险人终止保险责任，并按约定退还未满期净保险费（释义十</w:t>
      </w:r>
      <w:r>
        <w:rPr>
          <w:rFonts w:hint="eastAsia" w:ascii="宋体" w:hAnsi="宋体" w:cs="宋体"/>
          <w:b/>
          <w:bCs/>
          <w:szCs w:val="21"/>
          <w:lang w:val="en-US" w:eastAsia="zh-CN"/>
        </w:rPr>
        <w:t>四</w:t>
      </w:r>
      <w:r>
        <w:rPr>
          <w:rFonts w:hint="eastAsia" w:ascii="宋体" w:hAnsi="宋体" w:cs="宋体"/>
          <w:b/>
          <w:bCs/>
          <w:szCs w:val="21"/>
        </w:rPr>
        <w:t>），但减少的被保险人本人或其保险金申请人（释义十</w:t>
      </w:r>
      <w:r>
        <w:rPr>
          <w:rFonts w:hint="eastAsia" w:ascii="宋体" w:hAnsi="宋体" w:cs="宋体"/>
          <w:b/>
          <w:bCs/>
          <w:szCs w:val="21"/>
          <w:lang w:val="en-US" w:eastAsia="zh-CN"/>
        </w:rPr>
        <w:t>五</w:t>
      </w:r>
      <w:r>
        <w:rPr>
          <w:rFonts w:hint="eastAsia" w:ascii="宋体" w:hAnsi="宋体" w:cs="宋体"/>
          <w:b/>
          <w:bCs/>
          <w:szCs w:val="21"/>
        </w:rPr>
        <w:t>）已领取过任何保险金的，保险人不退还未满期净保险费。</w:t>
      </w:r>
    </w:p>
    <w:p>
      <w:pPr>
        <w:pStyle w:val="3"/>
        <w:spacing w:line="400" w:lineRule="exact"/>
        <w:ind w:left="0"/>
        <w:jc w:val="both"/>
        <w:rPr>
          <w:rFonts w:cs="宋体"/>
        </w:rPr>
      </w:pPr>
      <w:r>
        <w:rPr>
          <w:rFonts w:hint="eastAsia" w:cs="宋体"/>
        </w:rPr>
        <w:t>变更批注</w:t>
      </w:r>
    </w:p>
    <w:p>
      <w:pPr>
        <w:pStyle w:val="20"/>
        <w:autoSpaceDE w:val="0"/>
        <w:autoSpaceDN w:val="0"/>
        <w:adjustRightInd w:val="0"/>
        <w:spacing w:after="0" w:line="400" w:lineRule="exact"/>
        <w:rPr>
          <w:rFonts w:ascii="宋体" w:hAnsi="宋体" w:cs="宋体"/>
          <w:szCs w:val="21"/>
        </w:rPr>
      </w:pPr>
      <w:r>
        <w:rPr>
          <w:rFonts w:hint="eastAsia" w:ascii="宋体" w:hAnsi="宋体" w:cs="宋体"/>
          <w:szCs w:val="21"/>
        </w:rPr>
        <w:t>在保险期间内，投保人需变更保险合同内容的，应以书面形式</w:t>
      </w:r>
      <w:r>
        <w:rPr>
          <w:rFonts w:hint="eastAsia" w:ascii="宋体" w:hAnsi="宋体" w:cs="宋体"/>
          <w:bCs/>
          <w:szCs w:val="21"/>
        </w:rPr>
        <w:t>或双方认可的其他形式</w:t>
      </w:r>
      <w:r>
        <w:rPr>
          <w:rFonts w:hint="eastAsia" w:ascii="宋体" w:hAnsi="宋体" w:cs="宋体"/>
          <w:szCs w:val="21"/>
        </w:rPr>
        <w:t>向保险人提出申请。保险人同意后出具批单，并在本合同中批注。</w:t>
      </w:r>
    </w:p>
    <w:p>
      <w:pPr>
        <w:autoSpaceDE w:val="0"/>
        <w:autoSpaceDN w:val="0"/>
        <w:spacing w:line="400" w:lineRule="exact"/>
        <w:ind w:firstLine="420"/>
        <w:rPr>
          <w:rFonts w:ascii="宋体" w:hAnsi="宋体" w:cs="宋体"/>
          <w:szCs w:val="21"/>
        </w:rPr>
      </w:pPr>
      <w:r>
        <w:rPr>
          <w:rFonts w:hint="eastAsia" w:ascii="宋体" w:hAnsi="宋体" w:cs="宋体"/>
          <w:szCs w:val="21"/>
        </w:rPr>
        <w:t>投保人通过保险人同意或认可的网站等互联网渠道提出变更本合同的申请，视为投保人的书面申请。</w:t>
      </w:r>
    </w:p>
    <w:p>
      <w:pPr>
        <w:pStyle w:val="3"/>
        <w:spacing w:line="400" w:lineRule="exact"/>
        <w:ind w:left="0"/>
        <w:jc w:val="both"/>
        <w:rPr>
          <w:rFonts w:cs="宋体"/>
        </w:rPr>
      </w:pPr>
      <w:r>
        <w:rPr>
          <w:rFonts w:hint="eastAsia" w:cs="宋体"/>
        </w:rPr>
        <w:t>职业或工种的变更</w:t>
      </w:r>
    </w:p>
    <w:p>
      <w:pPr>
        <w:spacing w:line="400" w:lineRule="exact"/>
        <w:ind w:firstLine="420"/>
        <w:rPr>
          <w:rFonts w:ascii="宋体" w:hAnsi="宋体" w:cs="宋体"/>
          <w:szCs w:val="21"/>
        </w:rPr>
      </w:pPr>
      <w:r>
        <w:rPr>
          <w:rFonts w:hint="eastAsia" w:ascii="宋体" w:hAnsi="宋体" w:cs="宋体"/>
          <w:szCs w:val="21"/>
        </w:rPr>
        <w:t>被保险人变更其职业或工种时，投保人应于三十日内以书面形式</w:t>
      </w:r>
      <w:r>
        <w:rPr>
          <w:rFonts w:hint="eastAsia" w:ascii="宋体" w:hAnsi="宋体" w:cs="宋体"/>
          <w:bCs/>
          <w:szCs w:val="21"/>
        </w:rPr>
        <w:t>或双方认可的其他形式</w:t>
      </w:r>
      <w:r>
        <w:rPr>
          <w:rFonts w:hint="eastAsia" w:ascii="宋体" w:hAnsi="宋体" w:cs="宋体"/>
          <w:szCs w:val="21"/>
        </w:rPr>
        <w:t>通知保险人。</w:t>
      </w:r>
      <w:r>
        <w:rPr>
          <w:rFonts w:hint="eastAsia" w:ascii="宋体" w:hAnsi="宋体" w:cs="宋体"/>
          <w:b/>
          <w:bCs/>
          <w:szCs w:val="21"/>
        </w:rPr>
        <w:t>若被保险人所变更的职业或者工种依照保险人职业分类在拒保范围内的，保险人对该被保险人所负保险责任自其职业或工种变更之日起终止，</w:t>
      </w:r>
      <w:r>
        <w:rPr>
          <w:rFonts w:hint="eastAsia" w:ascii="宋体" w:hAnsi="宋体" w:cs="宋体"/>
          <w:szCs w:val="21"/>
        </w:rPr>
        <w:t>并退还未满期净保险费。</w:t>
      </w:r>
    </w:p>
    <w:p>
      <w:pPr>
        <w:spacing w:line="400" w:lineRule="exact"/>
        <w:ind w:firstLine="422"/>
        <w:rPr>
          <w:rFonts w:ascii="宋体" w:hAnsi="宋体" w:cs="宋体"/>
          <w:b/>
          <w:bCs/>
          <w:szCs w:val="21"/>
        </w:rPr>
      </w:pPr>
      <w:r>
        <w:rPr>
          <w:rFonts w:hint="eastAsia" w:ascii="宋体" w:hAnsi="宋体" w:cs="宋体"/>
          <w:b/>
          <w:szCs w:val="21"/>
        </w:rPr>
        <w:t>被保险人未履行本条约定的通知义务而发生保险事故的，且被保险人所变更的职业或者工种依照保险人职业分类在拒保范围内的，保险人不承担给付保险金的责任</w:t>
      </w:r>
      <w:r>
        <w:rPr>
          <w:rFonts w:hint="eastAsia" w:ascii="宋体" w:hAnsi="宋体" w:cs="宋体"/>
          <w:szCs w:val="21"/>
        </w:rPr>
        <w:t>，并自其职业或工种变更之日起，按日计算退还未满期净保险费，</w:t>
      </w:r>
      <w:r>
        <w:rPr>
          <w:rFonts w:hint="eastAsia" w:ascii="宋体" w:hAnsi="宋体" w:cs="宋体"/>
          <w:b/>
          <w:bCs/>
          <w:szCs w:val="21"/>
        </w:rPr>
        <w:t>本合同终止。</w:t>
      </w:r>
    </w:p>
    <w:p>
      <w:pPr>
        <w:pStyle w:val="3"/>
        <w:spacing w:line="400" w:lineRule="exact"/>
        <w:ind w:left="0"/>
        <w:jc w:val="both"/>
        <w:rPr>
          <w:rFonts w:cs="宋体"/>
        </w:rPr>
      </w:pPr>
      <w:r>
        <w:rPr>
          <w:rFonts w:hint="eastAsia" w:cs="宋体"/>
        </w:rPr>
        <w:t>年龄的确定及错误的处理</w:t>
      </w:r>
    </w:p>
    <w:p>
      <w:pPr>
        <w:spacing w:line="400" w:lineRule="exact"/>
        <w:ind w:firstLine="420"/>
        <w:rPr>
          <w:rFonts w:ascii="宋体" w:hAnsi="宋体" w:cs="宋体"/>
          <w:szCs w:val="21"/>
        </w:rPr>
      </w:pPr>
      <w:r>
        <w:rPr>
          <w:rFonts w:hint="eastAsia" w:ascii="宋体" w:hAnsi="宋体" w:cs="宋体"/>
          <w:szCs w:val="21"/>
        </w:rPr>
        <w:t>被保险人的投保年龄，以法定身份证件登记的周岁年龄为准，本合同所承保的被保险人的投保年龄必须符合年龄要求。投保人在申请投保时，应按被保险人的周岁年龄填写。若发生错误，保险人按照以下规定处理：</w:t>
      </w:r>
    </w:p>
    <w:p>
      <w:pPr>
        <w:pStyle w:val="23"/>
        <w:numPr>
          <w:ilvl w:val="0"/>
          <w:numId w:val="6"/>
        </w:numPr>
        <w:tabs>
          <w:tab w:val="left" w:pos="425"/>
        </w:tabs>
        <w:autoSpaceDE w:val="0"/>
        <w:autoSpaceDN w:val="0"/>
        <w:snapToGrid/>
        <w:spacing w:line="400" w:lineRule="exact"/>
        <w:ind w:firstLine="422"/>
        <w:rPr>
          <w:rFonts w:ascii="宋体" w:hAnsi="宋体" w:cs="宋体"/>
          <w:b/>
          <w:bCs/>
          <w:szCs w:val="21"/>
        </w:rPr>
      </w:pPr>
      <w:r>
        <w:rPr>
          <w:rFonts w:hint="eastAsia" w:ascii="宋体" w:hAnsi="宋体" w:cs="宋体"/>
          <w:b/>
          <w:bCs/>
          <w:szCs w:val="21"/>
        </w:rPr>
        <w:t>投保人申报的被保险人年龄不真实，且真实年龄不符合本合同约定的年龄限制的，保险人有权解除本合同，</w:t>
      </w:r>
      <w:r>
        <w:rPr>
          <w:rFonts w:hint="eastAsia" w:ascii="宋体" w:hAnsi="宋体" w:cs="宋体"/>
          <w:bCs/>
          <w:szCs w:val="21"/>
        </w:rPr>
        <w:t>并向投保人退还未满期净保险费。</w:t>
      </w:r>
    </w:p>
    <w:p>
      <w:pPr>
        <w:pStyle w:val="23"/>
        <w:numPr>
          <w:ilvl w:val="0"/>
          <w:numId w:val="6"/>
        </w:numPr>
        <w:tabs>
          <w:tab w:val="left" w:pos="425"/>
        </w:tabs>
        <w:autoSpaceDE w:val="0"/>
        <w:autoSpaceDN w:val="0"/>
        <w:snapToGrid/>
        <w:spacing w:line="400" w:lineRule="exact"/>
        <w:ind w:firstLine="422"/>
        <w:rPr>
          <w:rFonts w:ascii="宋体" w:hAnsi="宋体" w:cs="宋体"/>
          <w:b/>
          <w:bCs/>
          <w:szCs w:val="21"/>
        </w:rPr>
      </w:pPr>
      <w:r>
        <w:rPr>
          <w:rFonts w:hint="eastAsia" w:ascii="宋体" w:hAnsi="宋体" w:cs="宋体"/>
          <w:b/>
          <w:bCs/>
          <w:szCs w:val="21"/>
        </w:rPr>
        <w:t>投保人申报的被保险人年龄不真实，导致投保人实付保险费少于应付保险费的，保险人有权更正并要求投保人补交保险费，或在给付保险金时按照实付保险费与应付保险费的比例支付。</w:t>
      </w:r>
    </w:p>
    <w:p>
      <w:pPr>
        <w:pStyle w:val="23"/>
        <w:numPr>
          <w:ilvl w:val="0"/>
          <w:numId w:val="6"/>
        </w:numPr>
        <w:tabs>
          <w:tab w:val="left" w:pos="425"/>
        </w:tabs>
        <w:autoSpaceDE w:val="0"/>
        <w:autoSpaceDN w:val="0"/>
        <w:snapToGrid/>
        <w:spacing w:line="400" w:lineRule="exact"/>
        <w:rPr>
          <w:rFonts w:ascii="宋体" w:hAnsi="宋体" w:cs="宋体"/>
          <w:bCs/>
          <w:szCs w:val="21"/>
        </w:rPr>
      </w:pPr>
      <w:r>
        <w:rPr>
          <w:rFonts w:hint="eastAsia" w:ascii="宋体" w:hAnsi="宋体" w:cs="宋体"/>
          <w:bCs/>
          <w:szCs w:val="21"/>
        </w:rPr>
        <w:t>投保人申报的被保险人年龄不真实，导致投保人支付保险费多于应付保险费的，保险人应将多收的保险费无息退还投保人。</w:t>
      </w:r>
    </w:p>
    <w:p>
      <w:pPr>
        <w:pStyle w:val="3"/>
        <w:spacing w:line="400" w:lineRule="exact"/>
        <w:ind w:left="0"/>
        <w:jc w:val="both"/>
        <w:rPr>
          <w:rFonts w:cs="宋体"/>
        </w:rPr>
      </w:pPr>
      <w:r>
        <w:rPr>
          <w:rFonts w:hint="eastAsia" w:cs="宋体"/>
        </w:rPr>
        <w:t>保险事故通知义务</w:t>
      </w:r>
    </w:p>
    <w:p>
      <w:pPr>
        <w:pStyle w:val="20"/>
        <w:autoSpaceDE w:val="0"/>
        <w:autoSpaceDN w:val="0"/>
        <w:adjustRightInd w:val="0"/>
        <w:spacing w:after="0" w:line="400" w:lineRule="exact"/>
        <w:ind w:firstLine="422"/>
        <w:rPr>
          <w:rFonts w:ascii="宋体" w:hAnsi="宋体" w:cs="宋体"/>
          <w:szCs w:val="21"/>
        </w:rPr>
      </w:pPr>
      <w:r>
        <w:rPr>
          <w:rFonts w:hint="eastAsia" w:ascii="宋体" w:hAnsi="宋体" w:cs="宋体"/>
          <w:b/>
          <w:szCs w:val="21"/>
        </w:rPr>
        <w:t>投保人、被保险人或者保险金受益人知道保险事故发生后，应当及时通知保险人，</w:t>
      </w:r>
      <w:r>
        <w:rPr>
          <w:rFonts w:hint="eastAsia" w:ascii="宋体" w:hAnsi="宋体" w:cs="宋体"/>
          <w:b/>
          <w:kern w:val="0"/>
          <w:szCs w:val="21"/>
        </w:rPr>
        <w:t>并书面说明事故发生的原因、经过和损失情况</w:t>
      </w:r>
      <w:r>
        <w:rPr>
          <w:rFonts w:hint="eastAsia" w:ascii="宋体" w:hAnsi="宋体" w:cs="宋体"/>
          <w:b/>
          <w:szCs w:val="21"/>
        </w:rPr>
        <w:t>。故意或者因重大过失未及时通知，致使保险事故的性质、原因、损失程度等难以确定的，保险人对无法确定的部分，不承担给付保险金责任</w:t>
      </w:r>
      <w:r>
        <w:rPr>
          <w:rFonts w:hint="eastAsia" w:ascii="宋体" w:hAnsi="宋体" w:cs="宋体"/>
          <w:szCs w:val="21"/>
        </w:rPr>
        <w:t>，但保险人通过其他途径已经及时知道或者应当及时知道保险事故发生的除外。</w:t>
      </w:r>
    </w:p>
    <w:p>
      <w:pPr>
        <w:pStyle w:val="20"/>
        <w:autoSpaceDE w:val="0"/>
        <w:autoSpaceDN w:val="0"/>
        <w:adjustRightInd w:val="0"/>
        <w:spacing w:after="0" w:line="400" w:lineRule="exact"/>
        <w:rPr>
          <w:rFonts w:ascii="宋体" w:hAnsi="宋体" w:cs="宋体"/>
          <w:szCs w:val="21"/>
        </w:rPr>
      </w:pPr>
      <w:r>
        <w:rPr>
          <w:rFonts w:hint="eastAsia" w:ascii="宋体" w:hAnsi="宋体" w:cs="宋体"/>
          <w:szCs w:val="21"/>
        </w:rPr>
        <w:t>上述约定，不包括因</w:t>
      </w:r>
      <w:r>
        <w:rPr>
          <w:rFonts w:hint="eastAsia" w:ascii="宋体" w:hAnsi="宋体" w:cs="宋体"/>
          <w:b/>
          <w:szCs w:val="21"/>
        </w:rPr>
        <w:t>不可抗力</w:t>
      </w:r>
      <w:r>
        <w:rPr>
          <w:rFonts w:hint="eastAsia" w:ascii="宋体" w:hAnsi="宋体" w:cs="宋体"/>
          <w:bCs/>
          <w:szCs w:val="21"/>
        </w:rPr>
        <w:t>（释义十</w:t>
      </w:r>
      <w:r>
        <w:rPr>
          <w:rFonts w:hint="eastAsia" w:ascii="宋体" w:hAnsi="宋体" w:cs="宋体"/>
          <w:bCs/>
          <w:szCs w:val="21"/>
          <w:lang w:val="en-US" w:eastAsia="zh-CN"/>
        </w:rPr>
        <w:t>六</w:t>
      </w:r>
      <w:r>
        <w:rPr>
          <w:rFonts w:hint="eastAsia" w:ascii="宋体" w:hAnsi="宋体" w:cs="宋体"/>
          <w:bCs/>
          <w:szCs w:val="21"/>
        </w:rPr>
        <w:t>）</w:t>
      </w:r>
      <w:r>
        <w:rPr>
          <w:rFonts w:hint="eastAsia" w:ascii="宋体" w:hAnsi="宋体" w:cs="宋体"/>
          <w:szCs w:val="21"/>
        </w:rPr>
        <w:t>而导致的迟延。</w:t>
      </w:r>
    </w:p>
    <w:p>
      <w:pPr>
        <w:pStyle w:val="20"/>
        <w:autoSpaceDE w:val="0"/>
        <w:autoSpaceDN w:val="0"/>
        <w:spacing w:after="0" w:line="400" w:lineRule="exact"/>
        <w:ind w:firstLine="422"/>
        <w:rPr>
          <w:rFonts w:ascii="宋体" w:hAnsi="宋体" w:cs="宋体"/>
          <w:b/>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保险金的申请</w:t>
      </w:r>
    </w:p>
    <w:p>
      <w:pPr>
        <w:pStyle w:val="3"/>
        <w:spacing w:line="400" w:lineRule="exact"/>
        <w:ind w:left="0"/>
        <w:jc w:val="both"/>
        <w:rPr>
          <w:rFonts w:cs="宋体"/>
        </w:rPr>
      </w:pPr>
      <w:r>
        <w:rPr>
          <w:rFonts w:hint="eastAsia" w:cs="宋体"/>
        </w:rPr>
        <w:t>保险金的申请</w:t>
      </w:r>
    </w:p>
    <w:p>
      <w:pPr>
        <w:pStyle w:val="20"/>
        <w:autoSpaceDE w:val="0"/>
        <w:autoSpaceDN w:val="0"/>
        <w:adjustRightInd w:val="0"/>
        <w:spacing w:after="0" w:line="400" w:lineRule="exact"/>
        <w:rPr>
          <w:rFonts w:ascii="宋体" w:hAnsi="宋体" w:cs="宋体"/>
          <w:szCs w:val="21"/>
        </w:rPr>
      </w:pPr>
      <w:r>
        <w:rPr>
          <w:rFonts w:hint="eastAsia" w:ascii="宋体" w:hAnsi="宋体" w:cs="宋体"/>
          <w:szCs w:val="21"/>
        </w:rPr>
        <w:t>保险金申请人向保险人申请给付保险金时，应提供如下材料：</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（一）身故保险金申请</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（1）索赔申请书；</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（2）保险合同凭据；</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（3）保险金申请人的身份证明；</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（4）公安部门出具的被保险人户籍注销证明、二级及以上或保险人指定或认可的医院出具的被保险人身故证明书。若被保险人为宣告死亡，保险金申请人应提供人民法院出具的宣告死亡证明文件；</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（5）保险金申请人所能提供的与确认保险事故的性质、原因、损失程度等有关的其他证明和资料；</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（6）若保险金申请人委托他人申请的，还应提供授权委托书原件、委托人和受托人的身份证明等相关证明文件。</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（二）伤残保险金申请</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（1）索赔申请书；</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（2）保险合同凭据；</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（3）被保险人身份证明；</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（4）二级及以上或保险人指定或认可的医院或司法鉴定机构出具的伤残鉴定书；</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（5）保险金申请人所能提供的其他与本项申请相关的材料；</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（6）若保险金申请人委托他人申请的，还应提供授权委托书原件、委托人和受托人的身份证明等相关证明文件。</w:t>
      </w:r>
    </w:p>
    <w:p>
      <w:pPr>
        <w:pStyle w:val="20"/>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保险金申请人未能提供有关材料的，导致保险人无法核实该申请的真实性的，保险人对无法核实部分不承担给付保险金的责任。</w:t>
      </w:r>
    </w:p>
    <w:p>
      <w:pPr>
        <w:autoSpaceDE w:val="0"/>
        <w:autoSpaceDN w:val="0"/>
        <w:snapToGrid/>
        <w:spacing w:line="400" w:lineRule="exact"/>
        <w:ind w:firstLine="422"/>
        <w:rPr>
          <w:rFonts w:ascii="宋体" w:hAnsi="宋体" w:cs="宋体"/>
          <w:b/>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保险合同的解除、终止和争议处理</w:t>
      </w:r>
    </w:p>
    <w:p>
      <w:pPr>
        <w:pStyle w:val="3"/>
        <w:spacing w:line="400" w:lineRule="exact"/>
        <w:ind w:left="0"/>
        <w:jc w:val="both"/>
        <w:rPr>
          <w:rFonts w:cs="宋体"/>
        </w:rPr>
      </w:pPr>
      <w:r>
        <w:rPr>
          <w:rFonts w:hint="eastAsia" w:cs="宋体"/>
        </w:rPr>
        <w:t>合同的解除</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在本合同成立后，投保人可以书面形式或双方认可的其他形式通知保险人解除合同，</w:t>
      </w:r>
      <w:r>
        <w:rPr>
          <w:rFonts w:hint="eastAsia" w:ascii="宋体" w:hAnsi="宋体" w:cs="宋体"/>
          <w:b/>
          <w:kern w:val="0"/>
          <w:szCs w:val="21"/>
        </w:rPr>
        <w:t>但保险人已根据本合同的约定给付保险金的除外。</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投保人解除本合同时，应提供下列证明文件和资料：</w:t>
      </w:r>
    </w:p>
    <w:p>
      <w:pPr>
        <w:pStyle w:val="23"/>
        <w:numPr>
          <w:ilvl w:val="0"/>
          <w:numId w:val="7"/>
        </w:numPr>
        <w:tabs>
          <w:tab w:val="left" w:pos="425"/>
        </w:tabs>
        <w:autoSpaceDE w:val="0"/>
        <w:autoSpaceDN w:val="0"/>
        <w:snapToGrid/>
        <w:spacing w:line="400" w:lineRule="exact"/>
        <w:rPr>
          <w:rFonts w:ascii="宋体" w:hAnsi="宋体" w:cs="宋体"/>
          <w:bCs/>
          <w:kern w:val="0"/>
          <w:szCs w:val="21"/>
        </w:rPr>
      </w:pPr>
      <w:r>
        <w:rPr>
          <w:rFonts w:hint="eastAsia" w:ascii="宋体" w:hAnsi="宋体" w:cs="宋体"/>
          <w:bCs/>
          <w:kern w:val="0"/>
          <w:szCs w:val="21"/>
        </w:rPr>
        <w:t>保险合同解除申请书；</w:t>
      </w:r>
    </w:p>
    <w:p>
      <w:pPr>
        <w:pStyle w:val="23"/>
        <w:numPr>
          <w:ilvl w:val="0"/>
          <w:numId w:val="7"/>
        </w:numPr>
        <w:tabs>
          <w:tab w:val="left" w:pos="425"/>
        </w:tabs>
        <w:autoSpaceDE w:val="0"/>
        <w:autoSpaceDN w:val="0"/>
        <w:snapToGrid/>
        <w:spacing w:line="400" w:lineRule="exact"/>
        <w:rPr>
          <w:rFonts w:ascii="宋体" w:hAnsi="宋体" w:cs="宋体"/>
          <w:bCs/>
          <w:kern w:val="0"/>
          <w:szCs w:val="21"/>
        </w:rPr>
      </w:pPr>
      <w:r>
        <w:rPr>
          <w:rFonts w:hint="eastAsia" w:ascii="宋体" w:hAnsi="宋体" w:cs="宋体"/>
          <w:bCs/>
          <w:kern w:val="0"/>
          <w:szCs w:val="21"/>
        </w:rPr>
        <w:t>保险单或其他保险凭据；</w:t>
      </w:r>
    </w:p>
    <w:p>
      <w:pPr>
        <w:pStyle w:val="23"/>
        <w:numPr>
          <w:ilvl w:val="0"/>
          <w:numId w:val="7"/>
        </w:numPr>
        <w:tabs>
          <w:tab w:val="left" w:pos="425"/>
        </w:tabs>
        <w:autoSpaceDE w:val="0"/>
        <w:autoSpaceDN w:val="0"/>
        <w:snapToGrid/>
        <w:spacing w:line="400" w:lineRule="exact"/>
        <w:rPr>
          <w:rFonts w:ascii="宋体" w:hAnsi="宋体" w:cs="宋体"/>
          <w:bCs/>
          <w:kern w:val="0"/>
          <w:szCs w:val="21"/>
        </w:rPr>
      </w:pPr>
      <w:r>
        <w:rPr>
          <w:rFonts w:hint="eastAsia" w:ascii="宋体" w:hAnsi="宋体" w:cs="宋体"/>
          <w:bCs/>
          <w:kern w:val="0"/>
          <w:szCs w:val="21"/>
        </w:rPr>
        <w:t>保险费交付凭证；</w:t>
      </w:r>
    </w:p>
    <w:p>
      <w:pPr>
        <w:pStyle w:val="23"/>
        <w:numPr>
          <w:ilvl w:val="0"/>
          <w:numId w:val="7"/>
        </w:numPr>
        <w:tabs>
          <w:tab w:val="left" w:pos="425"/>
        </w:tabs>
        <w:autoSpaceDE w:val="0"/>
        <w:autoSpaceDN w:val="0"/>
        <w:snapToGrid/>
        <w:spacing w:line="400" w:lineRule="exact"/>
        <w:rPr>
          <w:rFonts w:ascii="宋体" w:hAnsi="宋体" w:cs="宋体"/>
          <w:bCs/>
          <w:kern w:val="0"/>
          <w:szCs w:val="21"/>
        </w:rPr>
      </w:pPr>
      <w:r>
        <w:rPr>
          <w:rFonts w:hint="eastAsia" w:ascii="宋体" w:hAnsi="宋体" w:cs="宋体"/>
          <w:bCs/>
          <w:kern w:val="0"/>
          <w:szCs w:val="21"/>
        </w:rPr>
        <w:t>投保人身份证明。</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投保人要求解除本合同，自保险人接到保险合同解除申请书之日次日零时起，本合同的效力终止。保险人收到上述证明文件和资料之日起30日内退还本合同的</w:t>
      </w:r>
      <w:r>
        <w:rPr>
          <w:rFonts w:hint="eastAsia" w:ascii="宋体" w:hAnsi="宋体" w:cs="宋体"/>
          <w:bCs/>
          <w:kern w:val="0"/>
          <w:szCs w:val="21"/>
        </w:rPr>
        <w:t>未满期净保险费</w:t>
      </w:r>
      <w:r>
        <w:rPr>
          <w:rFonts w:hint="eastAsia" w:ascii="宋体" w:hAnsi="宋体" w:cs="宋体"/>
          <w:kern w:val="0"/>
          <w:szCs w:val="21"/>
        </w:rPr>
        <w:t>。</w:t>
      </w:r>
    </w:p>
    <w:p>
      <w:pPr>
        <w:pStyle w:val="3"/>
        <w:spacing w:line="400" w:lineRule="exact"/>
        <w:ind w:left="0"/>
        <w:jc w:val="both"/>
        <w:rPr>
          <w:rFonts w:cs="宋体"/>
        </w:rPr>
      </w:pPr>
      <w:r>
        <w:rPr>
          <w:rFonts w:hint="eastAsia" w:cs="宋体"/>
        </w:rPr>
        <w:t>合同的争议处理</w:t>
      </w:r>
    </w:p>
    <w:p>
      <w:pPr>
        <w:pStyle w:val="23"/>
        <w:autoSpaceDE w:val="0"/>
        <w:autoSpaceDN w:val="0"/>
        <w:spacing w:line="400" w:lineRule="exact"/>
        <w:rPr>
          <w:rFonts w:ascii="宋体" w:hAnsi="宋体" w:cs="宋体"/>
          <w:szCs w:val="21"/>
        </w:rPr>
      </w:pPr>
      <w:r>
        <w:rPr>
          <w:rFonts w:hint="eastAsia" w:ascii="宋体" w:hAnsi="宋体" w:cs="宋体"/>
          <w:szCs w:val="21"/>
        </w:rPr>
        <w:t>因履行本合同发生的争议，由当事人协商解决。协商不成的，提交保险合同载明的仲裁机构仲裁；保险合同未载明仲裁机构且争议发生后未达成仲裁协议的，依法向人民法院起诉。</w:t>
      </w:r>
    </w:p>
    <w:p>
      <w:pPr>
        <w:pStyle w:val="23"/>
        <w:autoSpaceDE w:val="0"/>
        <w:autoSpaceDN w:val="0"/>
        <w:spacing w:line="400" w:lineRule="exact"/>
        <w:rPr>
          <w:rFonts w:ascii="宋体" w:hAnsi="宋体" w:cs="宋体"/>
          <w:b/>
          <w:szCs w:val="21"/>
        </w:rPr>
      </w:pPr>
      <w:r>
        <w:rPr>
          <w:rFonts w:hint="eastAsia" w:ascii="宋体" w:hAnsi="宋体" w:cs="宋体"/>
          <w:szCs w:val="21"/>
        </w:rPr>
        <w:t>与本合同有关的以及履行本合同产生的一切争议处理适用中华人民共和国法律</w:t>
      </w:r>
      <w:r>
        <w:rPr>
          <w:rFonts w:hint="eastAsia" w:ascii="宋体" w:hAnsi="宋体" w:cs="宋体"/>
          <w:b/>
          <w:szCs w:val="21"/>
        </w:rPr>
        <w:t>（不包括港澳台地区法律）</w:t>
      </w:r>
      <w:r>
        <w:rPr>
          <w:rFonts w:hint="eastAsia" w:ascii="宋体" w:hAnsi="宋体" w:cs="宋体"/>
          <w:szCs w:val="21"/>
        </w:rPr>
        <w:t>。</w:t>
      </w:r>
    </w:p>
    <w:p>
      <w:pPr>
        <w:pStyle w:val="3"/>
        <w:spacing w:line="400" w:lineRule="exact"/>
        <w:ind w:left="0"/>
        <w:jc w:val="both"/>
        <w:rPr>
          <w:rFonts w:cs="宋体"/>
          <w:kern w:val="0"/>
        </w:rPr>
      </w:pPr>
      <w:r>
        <w:rPr>
          <w:rFonts w:hint="eastAsia" w:cs="宋体"/>
          <w:kern w:val="0"/>
        </w:rPr>
        <w:t>诉讼时效期间</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保险金申请人向保险人请求给付保险金的诉讼时效期间为二年，自其知道或者应当知道保险事故发生之日起计算。</w:t>
      </w:r>
    </w:p>
    <w:p>
      <w:pPr>
        <w:pStyle w:val="3"/>
        <w:spacing w:line="400" w:lineRule="exact"/>
        <w:ind w:left="0"/>
        <w:jc w:val="both"/>
        <w:rPr>
          <w:rFonts w:cs="宋体"/>
        </w:rPr>
      </w:pPr>
      <w:r>
        <w:rPr>
          <w:rFonts w:hint="eastAsia" w:cs="宋体"/>
        </w:rPr>
        <w:t>效力终止</w:t>
      </w:r>
    </w:p>
    <w:p>
      <w:pPr>
        <w:pStyle w:val="20"/>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发生以下情况之一时，本合同效力即时终止：</w:t>
      </w:r>
    </w:p>
    <w:p>
      <w:pPr>
        <w:pStyle w:val="23"/>
        <w:numPr>
          <w:ilvl w:val="0"/>
          <w:numId w:val="8"/>
        </w:numPr>
        <w:tabs>
          <w:tab w:val="left" w:pos="425"/>
        </w:tabs>
        <w:autoSpaceDE w:val="0"/>
        <w:autoSpaceDN w:val="0"/>
        <w:snapToGrid/>
        <w:spacing w:line="400" w:lineRule="exact"/>
        <w:ind w:firstLine="422"/>
        <w:rPr>
          <w:rFonts w:ascii="宋体" w:hAnsi="宋体" w:cs="宋体"/>
          <w:b/>
          <w:bCs/>
          <w:szCs w:val="21"/>
        </w:rPr>
      </w:pPr>
      <w:r>
        <w:rPr>
          <w:rFonts w:hint="eastAsia" w:ascii="宋体" w:hAnsi="宋体" w:cs="宋体"/>
          <w:b/>
          <w:bCs/>
          <w:szCs w:val="21"/>
        </w:rPr>
        <w:t>保险期间届满；</w:t>
      </w:r>
    </w:p>
    <w:p>
      <w:pPr>
        <w:pStyle w:val="23"/>
        <w:numPr>
          <w:ilvl w:val="0"/>
          <w:numId w:val="8"/>
        </w:numPr>
        <w:tabs>
          <w:tab w:val="left" w:pos="425"/>
        </w:tabs>
        <w:autoSpaceDE w:val="0"/>
        <w:autoSpaceDN w:val="0"/>
        <w:snapToGrid/>
        <w:spacing w:line="400" w:lineRule="exact"/>
        <w:ind w:firstLine="422"/>
        <w:rPr>
          <w:rFonts w:ascii="宋体" w:hAnsi="宋体" w:cs="宋体"/>
          <w:b/>
          <w:bCs/>
          <w:szCs w:val="21"/>
        </w:rPr>
      </w:pPr>
      <w:r>
        <w:rPr>
          <w:rFonts w:hint="eastAsia" w:ascii="宋体" w:hAnsi="宋体" w:cs="宋体"/>
          <w:b/>
          <w:bCs/>
          <w:szCs w:val="21"/>
        </w:rPr>
        <w:t>被保险人身故；</w:t>
      </w:r>
    </w:p>
    <w:p>
      <w:pPr>
        <w:pStyle w:val="23"/>
        <w:numPr>
          <w:ilvl w:val="0"/>
          <w:numId w:val="8"/>
        </w:numPr>
        <w:tabs>
          <w:tab w:val="left" w:pos="425"/>
        </w:tabs>
        <w:autoSpaceDE w:val="0"/>
        <w:autoSpaceDN w:val="0"/>
        <w:snapToGrid/>
        <w:spacing w:line="400" w:lineRule="exact"/>
        <w:ind w:firstLine="422"/>
        <w:rPr>
          <w:rFonts w:ascii="宋体" w:hAnsi="宋体" w:cs="宋体"/>
          <w:b/>
          <w:bCs/>
          <w:kern w:val="0"/>
          <w:szCs w:val="21"/>
        </w:rPr>
      </w:pPr>
      <w:r>
        <w:rPr>
          <w:rFonts w:hint="eastAsia" w:ascii="宋体" w:hAnsi="宋体" w:cs="宋体"/>
          <w:b/>
          <w:bCs/>
          <w:szCs w:val="21"/>
        </w:rPr>
        <w:t>因本合同其他条款所约定的情况而终止效力。</w:t>
      </w:r>
    </w:p>
    <w:p>
      <w:pPr>
        <w:spacing w:line="400" w:lineRule="exact"/>
        <w:ind w:firstLine="420"/>
        <w:rPr>
          <w:rFonts w:ascii="宋体" w:hAnsi="宋体" w:cs="宋体"/>
          <w:szCs w:val="21"/>
        </w:rPr>
      </w:pPr>
    </w:p>
    <w:p>
      <w:pPr>
        <w:pStyle w:val="2"/>
        <w:spacing w:before="0" w:after="0" w:line="400" w:lineRule="exact"/>
        <w:ind w:left="0"/>
        <w:rPr>
          <w:rFonts w:ascii="宋体" w:hAnsi="宋体" w:cs="宋体"/>
          <w:szCs w:val="21"/>
        </w:rPr>
      </w:pPr>
      <w:r>
        <w:rPr>
          <w:rFonts w:hint="eastAsia" w:ascii="宋体" w:hAnsi="宋体" w:cs="宋体"/>
          <w:szCs w:val="21"/>
        </w:rPr>
        <w:t>释义</w:t>
      </w:r>
    </w:p>
    <w:p>
      <w:pPr>
        <w:pStyle w:val="4"/>
        <w:numPr>
          <w:ilvl w:val="-1"/>
          <w:numId w:val="0"/>
        </w:numPr>
        <w:spacing w:line="400" w:lineRule="exact"/>
        <w:ind w:left="420"/>
        <w:jc w:val="both"/>
        <w:rPr>
          <w:rFonts w:ascii="宋体" w:hAnsi="宋体"/>
          <w:szCs w:val="21"/>
        </w:rPr>
      </w:pPr>
      <w:bookmarkStart w:id="2" w:name="_Ref495658105"/>
      <w:r>
        <w:rPr>
          <w:rFonts w:hint="eastAsia" w:ascii="宋体" w:hAnsi="宋体"/>
          <w:szCs w:val="21"/>
          <w:lang w:val="en-US" w:eastAsia="zh-CN"/>
        </w:rPr>
        <w:t>一、</w:t>
      </w:r>
      <w:r>
        <w:rPr>
          <w:rFonts w:hint="eastAsia" w:ascii="宋体" w:hAnsi="宋体"/>
          <w:szCs w:val="21"/>
        </w:rPr>
        <w:t>保险人</w:t>
      </w:r>
      <w:bookmarkEnd w:id="2"/>
    </w:p>
    <w:p>
      <w:pPr>
        <w:spacing w:line="400" w:lineRule="exact"/>
        <w:ind w:firstLine="420"/>
        <w:rPr>
          <w:rFonts w:hint="eastAsia" w:ascii="宋体" w:hAnsi="宋体" w:cs="宋体"/>
          <w:kern w:val="0"/>
          <w:szCs w:val="21"/>
        </w:rPr>
      </w:pPr>
      <w:r>
        <w:rPr>
          <w:rFonts w:hint="eastAsia" w:ascii="宋体" w:hAnsi="宋体" w:cs="宋体"/>
          <w:kern w:val="0"/>
          <w:szCs w:val="21"/>
        </w:rPr>
        <w:t>指众安在线财产保险股份有限公司。</w:t>
      </w:r>
    </w:p>
    <w:p>
      <w:pPr>
        <w:pStyle w:val="36"/>
        <w:numPr>
          <w:ilvl w:val="-1"/>
          <w:numId w:val="0"/>
        </w:numPr>
        <w:tabs>
          <w:tab w:val="left" w:pos="0"/>
          <w:tab w:val="left" w:pos="426"/>
        </w:tabs>
        <w:spacing w:line="400" w:lineRule="exact"/>
        <w:ind w:left="0" w:firstLine="420" w:firstLineChars="200"/>
        <w:rPr>
          <w:rFonts w:ascii="宋体" w:hAnsi="宋体" w:cs="宋体"/>
          <w:b/>
          <w:szCs w:val="21"/>
        </w:rPr>
      </w:pPr>
      <w:r>
        <w:rPr>
          <w:rFonts w:hint="eastAsia" w:ascii="宋体" w:hAnsi="宋体" w:cs="宋体"/>
          <w:kern w:val="0"/>
          <w:szCs w:val="21"/>
          <w:lang w:val="en-US" w:eastAsia="zh-CN"/>
        </w:rPr>
        <w:t>二、</w:t>
      </w:r>
      <w:r>
        <w:rPr>
          <w:rFonts w:hint="eastAsia" w:ascii="宋体" w:hAnsi="宋体" w:cs="宋体"/>
          <w:b/>
          <w:szCs w:val="21"/>
        </w:rPr>
        <w:t>周岁</w:t>
      </w:r>
    </w:p>
    <w:p>
      <w:pPr>
        <w:pStyle w:val="37"/>
        <w:autoSpaceDE w:val="0"/>
        <w:autoSpaceDN w:val="0"/>
        <w:adjustRightInd w:val="0"/>
        <w:spacing w:line="400" w:lineRule="exact"/>
        <w:ind w:firstLine="420"/>
        <w:jc w:val="left"/>
        <w:rPr>
          <w:rFonts w:hint="eastAsia" w:ascii="宋体" w:hAnsi="宋体" w:eastAsia="宋体" w:cs="宋体"/>
          <w:kern w:val="0"/>
          <w:szCs w:val="21"/>
          <w:lang w:val="en-US" w:eastAsia="zh-CN"/>
        </w:rPr>
      </w:pPr>
      <w:r>
        <w:rPr>
          <w:rFonts w:hint="eastAsia" w:ascii="宋体" w:hAnsi="宋体" w:cs="宋体"/>
          <w:kern w:val="0"/>
          <w:szCs w:val="21"/>
        </w:rPr>
        <w:t>以法定身份证明文件中记载的出生日期为基础计算的实足年龄。</w:t>
      </w:r>
    </w:p>
    <w:p>
      <w:pPr>
        <w:pStyle w:val="4"/>
        <w:numPr>
          <w:ilvl w:val="-1"/>
          <w:numId w:val="0"/>
        </w:numPr>
        <w:spacing w:line="400" w:lineRule="exact"/>
        <w:ind w:left="420"/>
        <w:jc w:val="both"/>
        <w:rPr>
          <w:rFonts w:ascii="宋体" w:hAnsi="宋体"/>
          <w:szCs w:val="21"/>
        </w:rPr>
      </w:pPr>
      <w:bookmarkStart w:id="3" w:name="_Ref495663826"/>
      <w:r>
        <w:rPr>
          <w:rFonts w:hint="eastAsia" w:asciiTheme="minorEastAsia" w:hAnsiTheme="minorEastAsia" w:eastAsiaTheme="minorEastAsia" w:cstheme="minorEastAsia"/>
          <w:b/>
          <w:szCs w:val="21"/>
          <w:lang w:val="en-US" w:eastAsia="zh-CN"/>
        </w:rPr>
        <w:t>三、</w:t>
      </w:r>
      <w:r>
        <w:rPr>
          <w:rFonts w:hint="eastAsia" w:asciiTheme="minorEastAsia" w:hAnsiTheme="minorEastAsia" w:eastAsiaTheme="minorEastAsia" w:cstheme="minorEastAsia"/>
          <w:b/>
          <w:szCs w:val="21"/>
        </w:rPr>
        <w:t>意外伤害</w:t>
      </w:r>
    </w:p>
    <w:bookmarkEnd w:id="3"/>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指以外来的、突发的、非本意的和非疾病的客观事件为直接且单独的原因致使身体受到的伤害。</w:t>
      </w:r>
      <w:r>
        <w:rPr>
          <w:rFonts w:hint="eastAsia" w:asciiTheme="minorEastAsia" w:hAnsiTheme="minorEastAsia" w:eastAsiaTheme="minorEastAsia" w:cstheme="minorEastAsia"/>
          <w:b/>
          <w:szCs w:val="21"/>
        </w:rPr>
        <w:t>自然死亡、疾病身故、猝死、自杀以及自伤均不属于意外伤害。</w:t>
      </w:r>
    </w:p>
    <w:p>
      <w:pPr>
        <w:pStyle w:val="4"/>
        <w:numPr>
          <w:ilvl w:val="-1"/>
          <w:numId w:val="0"/>
        </w:numPr>
        <w:spacing w:line="400" w:lineRule="exact"/>
        <w:ind w:left="420"/>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四、</w:t>
      </w:r>
      <w:r>
        <w:rPr>
          <w:rFonts w:hint="eastAsia" w:asciiTheme="minorEastAsia" w:hAnsiTheme="minorEastAsia" w:eastAsiaTheme="minorEastAsia" w:cstheme="minorEastAsia"/>
          <w:b/>
          <w:szCs w:val="21"/>
        </w:rPr>
        <w:t>伤残</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因意外伤害损伤所致的人体残疾。</w:t>
      </w:r>
    </w:p>
    <w:p>
      <w:pPr>
        <w:numPr>
          <w:ilvl w:val="-1"/>
          <w:numId w:val="0"/>
        </w:numPr>
        <w:spacing w:line="400" w:lineRule="exact"/>
        <w:ind w:firstLine="422" w:firstLineChars="200"/>
        <w:rPr>
          <w:rFonts w:hint="eastAsia" w:asciiTheme="minorEastAsia" w:hAnsiTheme="minorEastAsia" w:eastAsiaTheme="minorEastAsia" w:cstheme="minorEastAsia"/>
          <w:b/>
          <w:szCs w:val="21"/>
        </w:rPr>
      </w:pPr>
      <w:r>
        <w:rPr>
          <w:rFonts w:hint="eastAsia" w:ascii="宋体" w:hAnsi="宋体" w:cs="Times New Roman"/>
          <w:b/>
          <w:bCs/>
          <w:szCs w:val="21"/>
          <w:lang w:val="en-US" w:eastAsia="zh-CN"/>
        </w:rPr>
        <w:t>五、</w:t>
      </w:r>
      <w:r>
        <w:rPr>
          <w:rFonts w:hint="eastAsia" w:ascii="宋体" w:hAnsi="宋体" w:eastAsia="宋体" w:cs="Times New Roman"/>
          <w:b/>
          <w:bCs/>
          <w:szCs w:val="21"/>
        </w:rPr>
        <w:t>猝死</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指表面健康的人因潜在疾病、机能障碍或其他原因在出现症状后短时间内发生的非暴力性突然死亡，猝死的认定以医院的诊断或公安部门的鉴定为准。</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六</w:t>
      </w:r>
      <w:r>
        <w:rPr>
          <w:rFonts w:hint="eastAsia" w:asciiTheme="minorEastAsia" w:hAnsiTheme="minorEastAsia" w:eastAsiaTheme="minorEastAsia" w:cstheme="minorEastAsia"/>
          <w:b/>
          <w:szCs w:val="21"/>
        </w:rPr>
        <w:t>、无有效驾驶证</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指被保险人存在下列情形之一者：</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（1）无驾驶证或驾驶证有效期已届满；</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（2）驾驶的机动车与驾驶证载明的准驾车型不符；</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（3）实习期内驾驶公共汽车、营运客车或者载有爆炸物品、易燃易爆化学物品、剧毒或者放射性等危险物品的机动车，实习期内驾驶的机动车牵引挂车；</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（4）持未按规定审验的驾驶证，以及在暂扣、扣留、吊销、注销驾驶证期间驾驶机动车；</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（5）使用各种专用机械车、特种车的人员无国家有关部门核发的有效操作证，驾驶营业性客车的驾驶人无国家有关部门核发的有效资格证书；</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（6）依照法律法规或公安机关交通管理部门有关规定不允许驾驶机动车的其他情况下驾车。</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七</w:t>
      </w:r>
      <w:r>
        <w:rPr>
          <w:rFonts w:hint="eastAsia" w:asciiTheme="minorEastAsia" w:hAnsiTheme="minorEastAsia" w:eastAsiaTheme="minorEastAsia" w:cstheme="minorEastAsia"/>
          <w:b/>
          <w:szCs w:val="21"/>
        </w:rPr>
        <w:t>、无有效行驶证</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指下列情形之一：</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（1）机动车被依法注销登记的；</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（2）无公安机关交通管理部门核发的行驶证、号牌，或临时号牌或临时移动证的机动交通工具；</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（3）未在规定检验期限内进行机动车安全技术检验或检验未通过的机动交通工具。未依法按时进行或通过机动车安全技术检验。</w:t>
      </w:r>
    </w:p>
    <w:p>
      <w:p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八</w:t>
      </w:r>
      <w:r>
        <w:rPr>
          <w:rFonts w:hint="eastAsia" w:asciiTheme="minorEastAsia" w:hAnsiTheme="minorEastAsia" w:eastAsiaTheme="minorEastAsia" w:cstheme="minorEastAsia"/>
          <w:b/>
          <w:szCs w:val="21"/>
        </w:rPr>
        <w:t>、感染艾滋病病毒（HIV）或患艾滋病（AIDS）</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艾滋病病毒指人类免疫缺陷病毒，英文缩写为HIV。艾滋病指人类免疫缺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pPr>
        <w:numPr>
          <w:ilvl w:val="-1"/>
          <w:numId w:val="0"/>
        </w:numPr>
        <w:spacing w:line="400" w:lineRule="exact"/>
        <w:ind w:left="420" w:firstLine="0" w:firstLineChars="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九、</w:t>
      </w:r>
      <w:r>
        <w:rPr>
          <w:rFonts w:hint="eastAsia" w:asciiTheme="minorEastAsia" w:hAnsiTheme="minorEastAsia" w:eastAsiaTheme="minorEastAsia" w:cstheme="minorEastAsia"/>
          <w:b/>
          <w:szCs w:val="21"/>
        </w:rPr>
        <w:t>潜水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是指以辅助呼吸器材在江、河、湖、海、水库、运河等水域进行的水下运动或作业。</w:t>
      </w:r>
    </w:p>
    <w:p>
      <w:pPr>
        <w:numPr>
          <w:ilvl w:val="0"/>
          <w:numId w:val="0"/>
        </w:numPr>
        <w:spacing w:line="400" w:lineRule="exact"/>
        <w:ind w:left="0" w:leftChars="0"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十、</w:t>
      </w:r>
      <w:r>
        <w:rPr>
          <w:rFonts w:hint="eastAsia" w:asciiTheme="minorEastAsia" w:hAnsiTheme="minorEastAsia" w:eastAsiaTheme="minorEastAsia" w:cstheme="minorEastAsia"/>
          <w:b/>
          <w:szCs w:val="21"/>
        </w:rPr>
        <w:t>攀岩运动</w:t>
      </w:r>
    </w:p>
    <w:p>
      <w:pPr>
        <w:numPr>
          <w:ilvl w:val="0"/>
          <w:numId w:val="0"/>
        </w:numPr>
        <w:spacing w:line="400" w:lineRule="exact"/>
        <w:ind w:left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是指攀登悬崖、楼宇外墙、人造悬崖、冰崖、冰山等运动。</w:t>
      </w:r>
    </w:p>
    <w:p>
      <w:pPr>
        <w:numPr>
          <w:ilvl w:val="-1"/>
          <w:numId w:val="0"/>
        </w:numPr>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十一、</w:t>
      </w:r>
      <w:r>
        <w:rPr>
          <w:rFonts w:hint="eastAsia" w:asciiTheme="minorEastAsia" w:hAnsiTheme="minorEastAsia" w:eastAsiaTheme="minorEastAsia" w:cstheme="minorEastAsia"/>
          <w:b/>
          <w:szCs w:val="21"/>
        </w:rPr>
        <w:t>探险活动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是指明知在某种特定的自然条件下有失去生命或者使身体受到伤害的危险，而故意使自己置身其中的行为。如江河漂流、徒步穿越沙漠或者人迹罕见的原始森林等活动。</w:t>
      </w:r>
    </w:p>
    <w:p>
      <w:pPr>
        <w:numPr>
          <w:ilvl w:val="0"/>
          <w:numId w:val="0"/>
        </w:numPr>
        <w:spacing w:line="400" w:lineRule="exact"/>
        <w:ind w:left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十二、</w:t>
      </w:r>
      <w:r>
        <w:rPr>
          <w:rFonts w:hint="eastAsia" w:asciiTheme="minorEastAsia" w:hAnsiTheme="minorEastAsia" w:eastAsiaTheme="minorEastAsia" w:cstheme="minorEastAsia"/>
          <w:b/>
          <w:szCs w:val="21"/>
        </w:rPr>
        <w:t>武术比赛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是指两人或者两人以上对抗性柔道、空手道、跆拳道、散打、拳击等各种拳术及各种使用器械的对抗性比赛。</w:t>
      </w:r>
    </w:p>
    <w:p>
      <w:pPr>
        <w:numPr>
          <w:ilvl w:val="-1"/>
          <w:numId w:val="0"/>
        </w:numPr>
        <w:spacing w:line="400" w:lineRule="exact"/>
        <w:ind w:left="420" w:leftChars="200" w:firstLine="0" w:firstLineChars="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十三、</w:t>
      </w:r>
      <w:r>
        <w:rPr>
          <w:rFonts w:hint="eastAsia" w:asciiTheme="minorEastAsia" w:hAnsiTheme="minorEastAsia" w:eastAsiaTheme="minorEastAsia" w:cstheme="minorEastAsia"/>
          <w:b/>
          <w:szCs w:val="21"/>
        </w:rPr>
        <w:t>特技</w:t>
      </w:r>
    </w:p>
    <w:p>
      <w:pPr>
        <w:numPr>
          <w:ilvl w:val="0"/>
          <w:numId w:val="0"/>
        </w:numPr>
        <w:spacing w:line="400" w:lineRule="exact"/>
        <w:ind w:left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是指从事马术、杂技、驯兽等特殊技能。</w:t>
      </w:r>
    </w:p>
    <w:p>
      <w:pPr>
        <w:numPr>
          <w:ilvl w:val="0"/>
          <w:numId w:val="0"/>
        </w:numPr>
        <w:spacing w:line="400" w:lineRule="exact"/>
        <w:ind w:left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十四、</w:t>
      </w:r>
      <w:r>
        <w:rPr>
          <w:rFonts w:hint="eastAsia" w:asciiTheme="minorEastAsia" w:hAnsiTheme="minorEastAsia" w:eastAsiaTheme="minorEastAsia" w:cstheme="minorEastAsia"/>
          <w:b/>
          <w:szCs w:val="21"/>
        </w:rPr>
        <w:t>未满期</w:t>
      </w:r>
      <w:r>
        <w:rPr>
          <w:rFonts w:hint="eastAsia" w:asciiTheme="minorEastAsia" w:hAnsiTheme="minorEastAsia" w:eastAsiaTheme="minorEastAsia" w:cstheme="minorEastAsia"/>
          <w:b/>
          <w:szCs w:val="21"/>
          <w:lang w:val="en-US" w:eastAsia="zh-CN"/>
        </w:rPr>
        <w:t>净</w:t>
      </w:r>
      <w:r>
        <w:rPr>
          <w:rFonts w:hint="eastAsia" w:asciiTheme="minorEastAsia" w:hAnsiTheme="minorEastAsia" w:eastAsiaTheme="minorEastAsia" w:cstheme="minorEastAsia"/>
          <w:b/>
          <w:szCs w:val="21"/>
        </w:rPr>
        <w:t>保险费</w:t>
      </w:r>
    </w:p>
    <w:p>
      <w:pPr>
        <w:spacing w:line="400" w:lineRule="exact"/>
        <w:ind w:firstLine="420"/>
        <w:rPr>
          <w:rFonts w:ascii="宋体" w:hAnsi="宋体" w:cs="宋体"/>
          <w:szCs w:val="21"/>
          <w:shd w:val="clear" w:color="auto" w:fill="FFFFFF"/>
        </w:rPr>
      </w:pPr>
      <w:r>
        <w:rPr>
          <w:rFonts w:hint="eastAsia" w:ascii="宋体" w:hAnsi="宋体" w:cs="宋体"/>
          <w:szCs w:val="21"/>
          <w:shd w:val="clear" w:color="auto" w:fill="FFFFFF"/>
        </w:rPr>
        <w:t>除另有约定外，</w:t>
      </w:r>
      <w:r>
        <w:rPr>
          <w:rFonts w:hint="eastAsia" w:ascii="宋体" w:hAnsi="宋体" w:cs="宋体"/>
          <w:kern w:val="0"/>
          <w:szCs w:val="21"/>
        </w:rPr>
        <w:t>按下述公式计算未满期净保险费：</w:t>
      </w:r>
    </w:p>
    <w:p>
      <w:pPr>
        <w:spacing w:line="400" w:lineRule="exact"/>
        <w:ind w:firstLine="422"/>
        <w:rPr>
          <w:rFonts w:ascii="宋体" w:hAnsi="宋体" w:cs="宋体"/>
          <w:b/>
          <w:szCs w:val="21"/>
          <w:shd w:val="clear" w:color="auto" w:fill="FFFFFF"/>
        </w:rPr>
      </w:pPr>
      <w:r>
        <w:rPr>
          <w:rFonts w:hint="eastAsia" w:ascii="宋体" w:hAnsi="宋体" w:cs="宋体"/>
          <w:b/>
          <w:szCs w:val="21"/>
          <w:shd w:val="clear" w:color="auto" w:fill="FFFFFF"/>
        </w:rPr>
        <w:t>未满期净保险费=保险费×[1-(保险单已经过天数/保险期间天数)]×(1-</w:t>
      </w:r>
      <w:r>
        <w:rPr>
          <w:rFonts w:hint="eastAsia" w:ascii="宋体" w:hAnsi="宋体" w:cs="宋体"/>
          <w:b/>
          <w:szCs w:val="21"/>
          <w:shd w:val="clear" w:color="auto" w:fill="FFFFFF"/>
          <w:lang w:val="en-US" w:eastAsia="zh-CN"/>
        </w:rPr>
        <w:t>25%</w:t>
      </w:r>
      <w:r>
        <w:rPr>
          <w:rFonts w:hint="eastAsia" w:ascii="宋体" w:hAnsi="宋体" w:cs="宋体"/>
          <w:b/>
          <w:szCs w:val="21"/>
          <w:shd w:val="clear" w:color="auto" w:fill="FFFFFF"/>
        </w:rPr>
        <w:t>)。经过天数不足一天按一天计算。</w:t>
      </w:r>
    </w:p>
    <w:p>
      <w:pPr>
        <w:numPr>
          <w:ilvl w:val="0"/>
          <w:numId w:val="0"/>
        </w:numPr>
        <w:spacing w:line="400" w:lineRule="exact"/>
        <w:ind w:left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十五、</w:t>
      </w:r>
      <w:r>
        <w:rPr>
          <w:rFonts w:hint="eastAsia" w:asciiTheme="minorEastAsia" w:hAnsiTheme="minorEastAsia" w:eastAsiaTheme="minorEastAsia" w:cstheme="minorEastAsia"/>
          <w:b/>
          <w:szCs w:val="21"/>
        </w:rPr>
        <w:t>保险金申请人</w:t>
      </w:r>
    </w:p>
    <w:p>
      <w:pPr>
        <w:numPr>
          <w:ilvl w:val="0"/>
          <w:numId w:val="0"/>
        </w:numPr>
        <w:spacing w:line="400" w:lineRule="exact"/>
        <w:ind w:left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指受益人或被保险人的继承人或依法享有保险金请求权的其他自然人。</w:t>
      </w:r>
    </w:p>
    <w:p>
      <w:pPr>
        <w:pStyle w:val="33"/>
        <w:numPr>
          <w:ilvl w:val="0"/>
          <w:numId w:val="0"/>
        </w:numPr>
        <w:autoSpaceDE w:val="0"/>
        <w:autoSpaceDN w:val="0"/>
        <w:snapToGrid w:val="0"/>
        <w:spacing w:after="0" w:afterLines="-2147483648" w:line="400" w:lineRule="exact"/>
        <w:ind w:leftChars="200"/>
        <w:jc w:val="left"/>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十六、</w:t>
      </w:r>
      <w:r>
        <w:rPr>
          <w:rFonts w:hint="eastAsia" w:asciiTheme="minorEastAsia" w:hAnsiTheme="minorEastAsia" w:eastAsiaTheme="minorEastAsia" w:cstheme="minorEastAsia"/>
          <w:b/>
          <w:sz w:val="21"/>
          <w:szCs w:val="21"/>
        </w:rPr>
        <w:t>不可抗力</w:t>
      </w:r>
    </w:p>
    <w:p>
      <w:pPr>
        <w:pStyle w:val="33"/>
        <w:numPr>
          <w:ilvl w:val="0"/>
          <w:numId w:val="0"/>
        </w:numPr>
        <w:autoSpaceDE w:val="0"/>
        <w:autoSpaceDN w:val="0"/>
        <w:snapToGrid w:val="0"/>
        <w:spacing w:after="0" w:afterLines="-2147483648" w:line="400" w:lineRule="exact"/>
        <w:ind w:leftChars="200"/>
        <w:jc w:val="left"/>
        <w:textAlignment w:val="bottom"/>
        <w:rPr>
          <w:rFonts w:ascii="宋体" w:hAnsi="宋体"/>
          <w:szCs w:val="21"/>
        </w:rPr>
      </w:pPr>
      <w:r>
        <w:rPr>
          <w:rFonts w:hint="eastAsia" w:asciiTheme="minorEastAsia" w:hAnsiTheme="minorEastAsia" w:eastAsiaTheme="minorEastAsia" w:cstheme="minorEastAsia"/>
          <w:sz w:val="21"/>
          <w:szCs w:val="21"/>
        </w:rPr>
        <w:t>指不能预见、不能避免并不能克服的客观情况。</w:t>
      </w: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420"/>
        <w:rPr>
          <w:rFonts w:hint="eastAsia" w:ascii="宋体" w:hAnsi="宋体" w:cs="宋体"/>
          <w:color w:val="000000" w:themeColor="text1"/>
          <w:szCs w:val="21"/>
          <w:highlight w:val="none"/>
          <w14:textFill>
            <w14:solidFill>
              <w14:schemeClr w14:val="tx1"/>
            </w14:solidFill>
          </w14:textFill>
        </w:rPr>
      </w:pPr>
    </w:p>
    <w:p>
      <w:pPr>
        <w:spacing w:beforeLines="0" w:afterLines="0" w:line="276" w:lineRule="auto"/>
        <w:ind w:firstLine="0"/>
        <w:rPr>
          <w:rFonts w:hint="eastAsia" w:ascii="宋体" w:hAnsi="宋体" w:cs="宋体"/>
          <w:color w:val="000000" w:themeColor="text1"/>
          <w:szCs w:val="21"/>
          <w:highlight w:val="none"/>
          <w14:textFill>
            <w14:solidFill>
              <w14:schemeClr w14:val="tx1"/>
            </w14:solidFill>
          </w14:textFill>
        </w:rPr>
      </w:pPr>
    </w:p>
    <w:p>
      <w:pPr>
        <w:tabs>
          <w:tab w:val="left" w:pos="1033"/>
        </w:tabs>
        <w:spacing w:before="70"/>
        <w:jc w:val="center"/>
        <w:rPr>
          <w:rFonts w:hint="eastAsia" w:asciiTheme="majorEastAsia" w:hAnsiTheme="majorEastAsia" w:eastAsiaTheme="majorEastAsia" w:cstheme="majorEastAsia"/>
          <w:b/>
          <w:bCs/>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page">
                  <wp:posOffset>5393055</wp:posOffset>
                </wp:positionH>
                <wp:positionV relativeFrom="paragraph">
                  <wp:posOffset>307975</wp:posOffset>
                </wp:positionV>
                <wp:extent cx="1266190" cy="675640"/>
                <wp:effectExtent l="0" t="0" r="0" b="0"/>
                <wp:wrapNone/>
                <wp:docPr id="73" name="矩形 73"/>
                <wp:cNvGraphicFramePr/>
                <a:graphic xmlns:a="http://schemas.openxmlformats.org/drawingml/2006/main">
                  <a:graphicData uri="http://schemas.microsoft.com/office/word/2010/wordprocessingShape">
                    <wps:wsp>
                      <wps:cNvSpPr/>
                      <wps:spPr>
                        <a:xfrm>
                          <a:off x="0" y="0"/>
                          <a:ext cx="1266190" cy="675640"/>
                        </a:xfrm>
                        <a:prstGeom prst="rect">
                          <a:avLst/>
                        </a:prstGeom>
                        <a:noFill/>
                        <a:ln w="9525">
                          <a:noFill/>
                        </a:ln>
                      </wps:spPr>
                      <wps:txbx>
                        <w:txbxContent>
                          <w:p>
                            <w:pPr>
                              <w:spacing w:line="1063" w:lineRule="exact"/>
                              <w:rPr>
                                <w:b/>
                                <w:sz w:val="96"/>
                              </w:rPr>
                            </w:pPr>
                            <w:r>
                              <w:rPr>
                                <w:b/>
                                <w:w w:val="165"/>
                                <w:sz w:val="96"/>
                              </w:rPr>
                              <w:t>JR</w:t>
                            </w:r>
                          </w:p>
                        </w:txbxContent>
                      </wps:txbx>
                      <wps:bodyPr lIns="0" tIns="0" rIns="0" bIns="0" upright="1"/>
                    </wps:wsp>
                  </a:graphicData>
                </a:graphic>
              </wp:anchor>
            </w:drawing>
          </mc:Choice>
          <mc:Fallback>
            <w:pict>
              <v:rect id="_x0000_s1026" o:spid="_x0000_s1026" o:spt="1" style="position:absolute;left:0pt;margin-left:424.65pt;margin-top:24.25pt;height:53.2pt;width:99.7pt;mso-position-horizontal-relative:page;z-index:251673600;mso-width-relative:page;mso-height-relative:page;" filled="f" stroked="f" coordsize="21600,21600" o:gfxdata="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7By7Z2wAAAAsBAAAPAAAAAAAAAAEAIAAAACIAAABkcnMvZG93bnJldi54bWxQ&#10;SwECFAAUAAAACACHTuJALq/ZQ7sBAABwAwAADgAAAAAAAAABACAAAAAqAQAAZHJzL2Uyb0RvYy54&#10;bWxQSwUGAAAAAAYABgBZAQAAVwUAAAAA&#10;">
                <v:fill on="f" focussize="0,0"/>
                <v:stroke on="f"/>
                <v:imagedata o:title=""/>
                <o:lock v:ext="edit" aspectratio="f"/>
                <v:textbox inset="0mm,0mm,0mm,0mm">
                  <w:txbxContent>
                    <w:p>
                      <w:pPr>
                        <w:spacing w:line="1063" w:lineRule="exact"/>
                        <w:rPr>
                          <w:b/>
                          <w:sz w:val="96"/>
                        </w:rPr>
                      </w:pPr>
                      <w:r>
                        <w:rPr>
                          <w:b/>
                          <w:w w:val="165"/>
                          <w:sz w:val="96"/>
                        </w:rPr>
                        <w:t>JR</w:t>
                      </w:r>
                    </w:p>
                  </w:txbxContent>
                </v:textbox>
              </v:rect>
            </w:pict>
          </mc:Fallback>
        </mc:AlternateContent>
      </w:r>
      <w:r>
        <w:rPr>
          <w:rFonts w:hint="eastAsia" w:asciiTheme="majorEastAsia" w:hAnsiTheme="majorEastAsia" w:eastAsiaTheme="majorEastAsia" w:cstheme="majorEastAsia"/>
          <w:b/>
          <w:bCs/>
          <w:color w:val="000000" w:themeColor="text1"/>
          <w:position w:val="1"/>
          <w:sz w:val="24"/>
          <w:szCs w:val="24"/>
          <w:highlight w:val="none"/>
          <w:lang w:val="en-US" w:eastAsia="zh-CN"/>
          <w14:textFill>
            <w14:solidFill>
              <w14:schemeClr w14:val="tx1"/>
            </w14:solidFill>
          </w14:textFill>
        </w:rPr>
        <w:t>第二部分</w:t>
      </w:r>
      <w:r>
        <w:rPr>
          <w:rFonts w:hint="eastAsia" w:asciiTheme="majorEastAsia" w:hAnsiTheme="majorEastAsia" w:eastAsiaTheme="majorEastAsia" w:cstheme="majorEastAsia"/>
          <w:b/>
          <w:bCs/>
          <w:color w:val="000000" w:themeColor="text1"/>
          <w:position w:val="1"/>
          <w:sz w:val="24"/>
          <w:szCs w:val="24"/>
          <w:highlight w:val="none"/>
          <w14:textFill>
            <w14:solidFill>
              <w14:schemeClr w14:val="tx1"/>
            </w14:solidFill>
          </w14:textFill>
        </w:rPr>
        <w:t>ICS</w:t>
      </w:r>
      <w:r>
        <w:rPr>
          <w:rFonts w:hint="eastAsia" w:asciiTheme="majorEastAsia" w:hAnsiTheme="majorEastAsia" w:eastAsiaTheme="majorEastAsia" w:cstheme="majorEastAsia"/>
          <w:b/>
          <w:bCs/>
          <w:color w:val="000000" w:themeColor="text1"/>
          <w:position w:val="1"/>
          <w:sz w:val="24"/>
          <w:szCs w:val="24"/>
          <w:highlight w:val="none"/>
          <w14:textFill>
            <w14:solidFill>
              <w14:schemeClr w14:val="tx1"/>
            </w14:solidFill>
          </w14:textFill>
        </w:rPr>
        <w:tab/>
      </w:r>
      <w:r>
        <w:rPr>
          <w:rFonts w:hint="eastAsia" w:asciiTheme="majorEastAsia" w:hAnsiTheme="majorEastAsia" w:eastAsiaTheme="majorEastAsia" w:cstheme="majorEastAsia"/>
          <w:b/>
          <w:bCs/>
          <w:color w:val="000000" w:themeColor="text1"/>
          <w:spacing w:val="-5"/>
          <w:sz w:val="24"/>
          <w:szCs w:val="24"/>
          <w:highlight w:val="none"/>
          <w14:textFill>
            <w14:solidFill>
              <w14:schemeClr w14:val="tx1"/>
            </w14:solidFill>
          </w14:textFill>
        </w:rPr>
        <w:t xml:space="preserve">03.060 </w:t>
      </w:r>
      <w:r>
        <w:rPr>
          <w:rFonts w:hint="eastAsia" w:asciiTheme="majorEastAsia" w:hAnsiTheme="majorEastAsia" w:eastAsiaTheme="majorEastAsia" w:cstheme="majorEastAsia"/>
          <w:b/>
          <w:bCs/>
          <w:color w:val="000000" w:themeColor="text1"/>
          <w:sz w:val="24"/>
          <w:szCs w:val="24"/>
          <w:highlight w:val="none"/>
          <w14:textFill>
            <w14:solidFill>
              <w14:schemeClr w14:val="tx1"/>
            </w14:solidFill>
          </w14:textFill>
        </w:rPr>
        <w:t>A11</w:t>
      </w:r>
    </w:p>
    <w:p>
      <w:pPr>
        <w:pStyle w:val="8"/>
        <w:rPr>
          <w:rFonts w:ascii="黑体"/>
          <w:color w:val="000000" w:themeColor="text1"/>
          <w:sz w:val="20"/>
          <w:highlight w:val="none"/>
          <w14:textFill>
            <w14:solidFill>
              <w14:schemeClr w14:val="tx1"/>
            </w14:solidFill>
          </w14:textFill>
        </w:rPr>
      </w:pPr>
    </w:p>
    <w:p>
      <w:pPr>
        <w:pStyle w:val="8"/>
        <w:rPr>
          <w:rFonts w:ascii="黑体"/>
          <w:color w:val="000000" w:themeColor="text1"/>
          <w:sz w:val="20"/>
          <w:highlight w:val="none"/>
          <w14:textFill>
            <w14:solidFill>
              <w14:schemeClr w14:val="tx1"/>
            </w14:solidFill>
          </w14:textFill>
        </w:rPr>
      </w:pPr>
    </w:p>
    <w:p>
      <w:pPr>
        <w:pStyle w:val="8"/>
        <w:rPr>
          <w:rFonts w:ascii="黑体"/>
          <w:color w:val="000000" w:themeColor="text1"/>
          <w:sz w:val="20"/>
          <w:highlight w:val="none"/>
          <w14:textFill>
            <w14:solidFill>
              <w14:schemeClr w14:val="tx1"/>
            </w14:solidFill>
          </w14:textFill>
        </w:rPr>
      </w:pPr>
    </w:p>
    <w:p>
      <w:pPr>
        <w:pStyle w:val="8"/>
        <w:spacing w:before="4"/>
        <w:rPr>
          <w:rFonts w:ascii="黑体"/>
          <w:color w:val="000000" w:themeColor="text1"/>
          <w:highlight w:val="none"/>
          <w14:textFill>
            <w14:solidFill>
              <w14:schemeClr w14:val="tx1"/>
            </w14:solidFill>
          </w14:textFill>
        </w:rPr>
      </w:pPr>
    </w:p>
    <w:p>
      <w:pPr>
        <w:spacing w:before="33"/>
        <w:ind w:left="498"/>
        <w:rPr>
          <w:rFonts w:ascii="黑体" w:eastAsia="黑体"/>
          <w:color w:val="000000" w:themeColor="text1"/>
          <w:sz w:val="48"/>
          <w:highlight w:val="none"/>
          <w14:textFill>
            <w14:solidFill>
              <w14:schemeClr w14:val="tx1"/>
            </w14:solidFill>
          </w14:textFill>
        </w:rPr>
      </w:pPr>
      <w:r>
        <w:rPr>
          <w:rFonts w:hint="eastAsia" w:ascii="黑体" w:eastAsia="黑体"/>
          <w:color w:val="000000" w:themeColor="text1"/>
          <w:sz w:val="48"/>
          <w:highlight w:val="none"/>
          <w14:textFill>
            <w14:solidFill>
              <w14:schemeClr w14:val="tx1"/>
            </w14:solidFill>
          </w14:textFill>
        </w:rPr>
        <w:t>中 华 人 民 共 和 国 金 融 行 业 标 准</w:t>
      </w:r>
    </w:p>
    <w:p>
      <w:pPr>
        <w:spacing w:before="307"/>
        <w:ind w:right="696"/>
        <w:jc w:val="right"/>
        <w:rPr>
          <w:rFonts w:ascii="黑体" w:hAnsi="黑体"/>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JR/T</w:t>
      </w:r>
      <w:r>
        <w:rPr>
          <w:color w:val="000000" w:themeColor="text1"/>
          <w:spacing w:val="66"/>
          <w:sz w:val="28"/>
          <w:highlight w:val="none"/>
          <w14:textFill>
            <w14:solidFill>
              <w14:schemeClr w14:val="tx1"/>
            </w14:solidFill>
          </w14:textFill>
        </w:rPr>
        <w:t xml:space="preserve"> </w:t>
      </w:r>
      <w:r>
        <w:rPr>
          <w:color w:val="000000" w:themeColor="text1"/>
          <w:sz w:val="28"/>
          <w:highlight w:val="none"/>
          <w14:textFill>
            <w14:solidFill>
              <w14:schemeClr w14:val="tx1"/>
            </w14:solidFill>
          </w14:textFill>
        </w:rPr>
        <w:t>0083</w:t>
      </w:r>
      <w:r>
        <w:rPr>
          <w:rFonts w:ascii="黑体" w:hAnsi="黑体"/>
          <w:color w:val="000000" w:themeColor="text1"/>
          <w:sz w:val="28"/>
          <w:highlight w:val="none"/>
          <w14:textFill>
            <w14:solidFill>
              <w14:schemeClr w14:val="tx1"/>
            </w14:solidFill>
          </w14:textFill>
        </w:rPr>
        <w:t>—2013</w:t>
      </w:r>
    </w:p>
    <w:p>
      <w:pPr>
        <w:pStyle w:val="8"/>
        <w:rPr>
          <w:rFonts w:ascii="黑体"/>
          <w:color w:val="000000" w:themeColor="text1"/>
          <w:sz w:val="20"/>
          <w:highlight w:val="none"/>
          <w14:textFill>
            <w14:solidFill>
              <w14:schemeClr w14:val="tx1"/>
            </w14:solidFill>
          </w14:textFill>
        </w:rPr>
      </w:pPr>
    </w:p>
    <w:p>
      <w:pPr>
        <w:pStyle w:val="8"/>
        <w:spacing w:before="9"/>
        <w:rPr>
          <w:rFonts w:ascii="黑体"/>
          <w:color w:val="000000" w:themeColor="text1"/>
          <w:sz w:val="29"/>
          <w:highlight w:val="none"/>
          <w14:textFill>
            <w14:solidFill>
              <w14:schemeClr w14:val="tx1"/>
            </w14:solidFill>
          </w14:textFill>
        </w:rPr>
      </w:pPr>
    </w:p>
    <w:p>
      <w:pPr>
        <w:pStyle w:val="8"/>
        <w:rPr>
          <w:rFonts w:ascii="黑体"/>
          <w:color w:val="000000" w:themeColor="text1"/>
          <w:sz w:val="30"/>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71552" behindDoc="1" locked="0" layoutInCell="1" allowOverlap="1">
                <wp:simplePos x="0" y="0"/>
                <wp:positionH relativeFrom="page">
                  <wp:posOffset>1397000</wp:posOffset>
                </wp:positionH>
                <wp:positionV relativeFrom="paragraph">
                  <wp:posOffset>33655</wp:posOffset>
                </wp:positionV>
                <wp:extent cx="5114290" cy="44450"/>
                <wp:effectExtent l="0" t="4445" r="3810" b="14605"/>
                <wp:wrapTopAndBottom/>
                <wp:docPr id="72" name="直接连接符 72"/>
                <wp:cNvGraphicFramePr/>
                <a:graphic xmlns:a="http://schemas.openxmlformats.org/drawingml/2006/main">
                  <a:graphicData uri="http://schemas.microsoft.com/office/word/2010/wordprocessingShape">
                    <wps:wsp>
                      <wps:cNvCnPr/>
                      <wps:spPr>
                        <a:xfrm flipV="1">
                          <a:off x="0" y="0"/>
                          <a:ext cx="5114290" cy="44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0pt;margin-top:2.65pt;height:3.5pt;width:402.7pt;mso-position-horizontal-relative:page;mso-wrap-distance-bottom:0pt;mso-wrap-distance-top:0pt;z-index:-251644928;mso-width-relative:page;mso-height-relative:page;" filled="f" stroked="t" coordsize="21600,21600" o:gfxdata="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XKzFJ1gAAAAkBAAAPAAAAAAAAAAEAIAAAACIAAABkcnMvZG93&#10;bnJldi54bWxQSwECFAAUAAAACACHTuJAoDvHFwICAAD0AwAADgAAAAAAAAABACAAAAAlAQAAZHJz&#10;L2Uyb0RvYy54bWxQSwUGAAAAAAYABgBZAQAAmQUAAAAA&#10;">
                <v:fill on="f" focussize="0,0"/>
                <v:stroke color="#000000" joinstyle="round"/>
                <v:imagedata o:title=""/>
                <o:lock v:ext="edit" aspectratio="f"/>
                <w10:wrap type="topAndBottom"/>
              </v:line>
            </w:pict>
          </mc:Fallback>
        </mc:AlternateContent>
      </w:r>
    </w:p>
    <w:p>
      <w:pPr>
        <w:pStyle w:val="8"/>
        <w:rPr>
          <w:rFonts w:ascii="黑体"/>
          <w:color w:val="000000" w:themeColor="text1"/>
          <w:sz w:val="30"/>
          <w:highlight w:val="none"/>
          <w14:textFill>
            <w14:solidFill>
              <w14:schemeClr w14:val="tx1"/>
            </w14:solidFill>
          </w14:textFill>
        </w:rPr>
      </w:pPr>
    </w:p>
    <w:p>
      <w:pPr>
        <w:pStyle w:val="8"/>
        <w:rPr>
          <w:rFonts w:ascii="黑体"/>
          <w:color w:val="000000" w:themeColor="text1"/>
          <w:sz w:val="30"/>
          <w:highlight w:val="none"/>
          <w14:textFill>
            <w14:solidFill>
              <w14:schemeClr w14:val="tx1"/>
            </w14:solidFill>
          </w14:textFill>
        </w:rPr>
      </w:pPr>
    </w:p>
    <w:p>
      <w:pPr>
        <w:pStyle w:val="8"/>
        <w:rPr>
          <w:rFonts w:ascii="黑体"/>
          <w:color w:val="000000" w:themeColor="text1"/>
          <w:sz w:val="30"/>
          <w:highlight w:val="none"/>
          <w14:textFill>
            <w14:solidFill>
              <w14:schemeClr w14:val="tx1"/>
            </w14:solidFill>
          </w14:textFill>
        </w:rPr>
      </w:pPr>
    </w:p>
    <w:p>
      <w:pPr>
        <w:pStyle w:val="8"/>
        <w:rPr>
          <w:rFonts w:ascii="黑体"/>
          <w:color w:val="000000" w:themeColor="text1"/>
          <w:sz w:val="30"/>
          <w:highlight w:val="none"/>
          <w14:textFill>
            <w14:solidFill>
              <w14:schemeClr w14:val="tx1"/>
            </w14:solidFill>
          </w14:textFill>
        </w:rPr>
      </w:pPr>
    </w:p>
    <w:p>
      <w:pPr>
        <w:spacing w:before="206"/>
        <w:ind w:right="220"/>
        <w:jc w:val="center"/>
        <w:rPr>
          <w:rFonts w:ascii="黑体" w:eastAsia="黑体"/>
          <w:color w:val="000000" w:themeColor="text1"/>
          <w:sz w:val="52"/>
          <w:highlight w:val="none"/>
          <w14:textFill>
            <w14:solidFill>
              <w14:schemeClr w14:val="tx1"/>
            </w14:solidFill>
          </w14:textFill>
        </w:rPr>
      </w:pPr>
      <w:r>
        <w:rPr>
          <w:rFonts w:hint="eastAsia" w:ascii="黑体" w:eastAsia="黑体"/>
          <w:color w:val="000000" w:themeColor="text1"/>
          <w:sz w:val="52"/>
          <w:highlight w:val="none"/>
          <w14:textFill>
            <w14:solidFill>
              <w14:schemeClr w14:val="tx1"/>
            </w14:solidFill>
          </w14:textFill>
        </w:rPr>
        <w:t>人身保险伤残评定标准及代码</w:t>
      </w:r>
    </w:p>
    <w:p>
      <w:pPr>
        <w:spacing w:before="403"/>
        <w:ind w:right="77"/>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China insurance disability standard and code</w:t>
      </w:r>
    </w:p>
    <w:p>
      <w:pPr>
        <w:pStyle w:val="8"/>
        <w:rPr>
          <w:rFonts w:ascii="Times New Roman"/>
          <w:color w:val="000000" w:themeColor="text1"/>
          <w:sz w:val="30"/>
          <w:highlight w:val="none"/>
          <w:lang w:val="en-US"/>
          <w14:textFill>
            <w14:solidFill>
              <w14:schemeClr w14:val="tx1"/>
            </w14:solidFill>
          </w14:textFill>
        </w:rPr>
      </w:pPr>
    </w:p>
    <w:p>
      <w:pPr>
        <w:pStyle w:val="8"/>
        <w:rPr>
          <w:rFonts w:ascii="Times New Roman"/>
          <w:color w:val="000000" w:themeColor="text1"/>
          <w:sz w:val="30"/>
          <w:highlight w:val="none"/>
          <w:lang w:val="en-US"/>
          <w14:textFill>
            <w14:solidFill>
              <w14:schemeClr w14:val="tx1"/>
            </w14:solidFill>
          </w14:textFill>
        </w:rPr>
      </w:pPr>
    </w:p>
    <w:p>
      <w:pPr>
        <w:pStyle w:val="8"/>
        <w:rPr>
          <w:rFonts w:ascii="Times New Roman"/>
          <w:color w:val="000000" w:themeColor="text1"/>
          <w:sz w:val="30"/>
          <w:highlight w:val="none"/>
          <w:lang w:val="en-US"/>
          <w14:textFill>
            <w14:solidFill>
              <w14:schemeClr w14:val="tx1"/>
            </w14:solidFill>
          </w14:textFill>
        </w:rPr>
      </w:pPr>
    </w:p>
    <w:p>
      <w:pPr>
        <w:pStyle w:val="8"/>
        <w:rPr>
          <w:rFonts w:ascii="Times New Roman"/>
          <w:color w:val="000000" w:themeColor="text1"/>
          <w:sz w:val="30"/>
          <w:highlight w:val="none"/>
          <w:lang w:val="en-US"/>
          <w14:textFill>
            <w14:solidFill>
              <w14:schemeClr w14:val="tx1"/>
            </w14:solidFill>
          </w14:textFill>
        </w:rPr>
      </w:pPr>
    </w:p>
    <w:p>
      <w:pPr>
        <w:pStyle w:val="8"/>
        <w:rPr>
          <w:rFonts w:ascii="Times New Roman"/>
          <w:color w:val="000000" w:themeColor="text1"/>
          <w:sz w:val="30"/>
          <w:highlight w:val="none"/>
          <w:lang w:val="en-US"/>
          <w14:textFill>
            <w14:solidFill>
              <w14:schemeClr w14:val="tx1"/>
            </w14:solidFill>
          </w14:textFill>
        </w:rPr>
      </w:pPr>
    </w:p>
    <w:p>
      <w:pPr>
        <w:pStyle w:val="8"/>
        <w:rPr>
          <w:rFonts w:ascii="Times New Roman"/>
          <w:color w:val="000000" w:themeColor="text1"/>
          <w:sz w:val="30"/>
          <w:highlight w:val="none"/>
          <w:lang w:val="en-US"/>
          <w14:textFill>
            <w14:solidFill>
              <w14:schemeClr w14:val="tx1"/>
            </w14:solidFill>
          </w14:textFill>
        </w:rPr>
      </w:pPr>
    </w:p>
    <w:p>
      <w:pPr>
        <w:pStyle w:val="8"/>
        <w:rPr>
          <w:rFonts w:ascii="Times New Roman"/>
          <w:color w:val="000000" w:themeColor="text1"/>
          <w:sz w:val="30"/>
          <w:highlight w:val="none"/>
          <w:lang w:val="en-US"/>
          <w14:textFill>
            <w14:solidFill>
              <w14:schemeClr w14:val="tx1"/>
            </w14:solidFill>
          </w14:textFill>
        </w:rPr>
      </w:pPr>
    </w:p>
    <w:p>
      <w:pPr>
        <w:pStyle w:val="8"/>
        <w:rPr>
          <w:rFonts w:ascii="Times New Roman"/>
          <w:color w:val="000000" w:themeColor="text1"/>
          <w:sz w:val="30"/>
          <w:highlight w:val="none"/>
          <w:lang w:val="en-US"/>
          <w14:textFill>
            <w14:solidFill>
              <w14:schemeClr w14:val="tx1"/>
            </w14:solidFill>
          </w14:textFill>
        </w:rPr>
      </w:pPr>
    </w:p>
    <w:p>
      <w:pPr>
        <w:pStyle w:val="8"/>
        <w:rPr>
          <w:rFonts w:ascii="Times New Roman"/>
          <w:color w:val="000000" w:themeColor="text1"/>
          <w:sz w:val="30"/>
          <w:highlight w:val="none"/>
          <w:lang w:val="en-US"/>
          <w14:textFill>
            <w14:solidFill>
              <w14:schemeClr w14:val="tx1"/>
            </w14:solidFill>
          </w14:textFill>
        </w:rPr>
      </w:pPr>
    </w:p>
    <w:p>
      <w:pPr>
        <w:pStyle w:val="8"/>
        <w:rPr>
          <w:rFonts w:ascii="Times New Roman"/>
          <w:color w:val="000000" w:themeColor="text1"/>
          <w:sz w:val="30"/>
          <w:highlight w:val="none"/>
          <w:lang w:val="en-US"/>
          <w14:textFill>
            <w14:solidFill>
              <w14:schemeClr w14:val="tx1"/>
            </w14:solidFill>
          </w14:textFill>
        </w:rPr>
      </w:pPr>
    </w:p>
    <w:p>
      <w:pPr>
        <w:pStyle w:val="8"/>
        <w:rPr>
          <w:rFonts w:ascii="Times New Roman"/>
          <w:color w:val="000000" w:themeColor="text1"/>
          <w:sz w:val="30"/>
          <w:highlight w:val="none"/>
          <w:lang w:val="en-US"/>
          <w14:textFill>
            <w14:solidFill>
              <w14:schemeClr w14:val="tx1"/>
            </w14:solidFill>
          </w14:textFill>
        </w:rPr>
      </w:pPr>
    </w:p>
    <w:p>
      <w:pPr>
        <w:pStyle w:val="8"/>
        <w:rPr>
          <w:rFonts w:ascii="Times New Roman"/>
          <w:color w:val="000000" w:themeColor="text1"/>
          <w:sz w:val="30"/>
          <w:highlight w:val="none"/>
          <w:lang w:val="en-US"/>
          <w14:textFill>
            <w14:solidFill>
              <w14:schemeClr w14:val="tx1"/>
            </w14:solidFill>
          </w14:textFill>
        </w:rPr>
      </w:pPr>
    </w:p>
    <w:p>
      <w:pPr>
        <w:tabs>
          <w:tab w:val="left" w:pos="8554"/>
        </w:tabs>
        <w:spacing w:before="212"/>
        <w:ind w:left="498"/>
        <w:rPr>
          <w:rFonts w:ascii="黑体" w:eastAsia="黑体"/>
          <w:color w:val="000000" w:themeColor="text1"/>
          <w:sz w:val="28"/>
          <w:highlight w:val="none"/>
          <w14:textFill>
            <w14:solidFill>
              <w14:schemeClr w14:val="tx1"/>
            </w14:solidFill>
          </w14:textFill>
        </w:rPr>
      </w:pPr>
      <w:r>
        <w:rPr>
          <w:rFonts w:ascii="宋体"/>
          <w:color w:val="000000" w:themeColor="text1"/>
          <w:sz w:val="22"/>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page">
                  <wp:posOffset>1336675</wp:posOffset>
                </wp:positionH>
                <wp:positionV relativeFrom="paragraph">
                  <wp:posOffset>350520</wp:posOffset>
                </wp:positionV>
                <wp:extent cx="5225415" cy="10795"/>
                <wp:effectExtent l="0" t="4445" r="6985" b="10160"/>
                <wp:wrapNone/>
                <wp:docPr id="71" name="直接连接符 71"/>
                <wp:cNvGraphicFramePr/>
                <a:graphic xmlns:a="http://schemas.openxmlformats.org/drawingml/2006/main">
                  <a:graphicData uri="http://schemas.microsoft.com/office/word/2010/wordprocessingShape">
                    <wps:wsp>
                      <wps:cNvCnPr/>
                      <wps:spPr>
                        <a:xfrm flipV="1">
                          <a:off x="0" y="0"/>
                          <a:ext cx="522541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25pt;margin-top:27.6pt;height:0.85pt;width:411.45pt;mso-position-horizontal-relative:page;z-index:251674624;mso-width-relative:page;mso-height-relative:page;" filled="f" stroked="t" coordsize="21600,21600" o:gfxdata="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ZoauPYAAAACgEAAA8AAAAAAAAAAQAgAAAAIgAAAGRycy9kb3du&#10;cmV2LnhtbFBLAQIUABQAAAAIAIdO4kCH3BYy/wEAAPQDAAAOAAAAAAAAAAEAIAAAACcBAABkcnMv&#10;ZTJvRG9jLnhtbFBLBQYAAAAABgAGAFkBAACYBQAAAAA=&#10;">
                <v:fill on="f" focussize="0,0"/>
                <v:stroke color="#000000" joinstyle="round"/>
                <v:imagedata o:title=""/>
                <o:lock v:ext="edit" aspectratio="f"/>
              </v:line>
            </w:pict>
          </mc:Fallback>
        </mc:AlternateContent>
      </w:r>
      <w:r>
        <w:rPr>
          <w:rFonts w:hint="eastAsia" w:ascii="黑体" w:eastAsia="黑体"/>
          <w:color w:val="000000" w:themeColor="text1"/>
          <w:sz w:val="28"/>
          <w:highlight w:val="none"/>
          <w14:textFill>
            <w14:solidFill>
              <w14:schemeClr w14:val="tx1"/>
            </w14:solidFill>
          </w14:textFill>
        </w:rPr>
        <w:t>2014</w:t>
      </w:r>
      <w:r>
        <w:rPr>
          <w:rFonts w:hint="eastAsia" w:ascii="黑体" w:eastAsia="黑体"/>
          <w:color w:val="000000" w:themeColor="text1"/>
          <w:spacing w:val="-70"/>
          <w:sz w:val="28"/>
          <w:highlight w:val="none"/>
          <w14:textFill>
            <w14:solidFill>
              <w14:schemeClr w14:val="tx1"/>
            </w14:solidFill>
          </w14:textFill>
        </w:rPr>
        <w:t xml:space="preserve"> </w:t>
      </w:r>
      <w:r>
        <w:rPr>
          <w:rFonts w:hint="eastAsia" w:ascii="黑体" w:eastAsia="黑体"/>
          <w:color w:val="000000" w:themeColor="text1"/>
          <w:sz w:val="28"/>
          <w:highlight w:val="none"/>
          <w14:textFill>
            <w14:solidFill>
              <w14:schemeClr w14:val="tx1"/>
            </w14:solidFill>
          </w14:textFill>
        </w:rPr>
        <w:t>-</w:t>
      </w:r>
      <w:r>
        <w:rPr>
          <w:rFonts w:hint="eastAsia" w:ascii="黑体" w:eastAsia="黑体"/>
          <w:color w:val="000000" w:themeColor="text1"/>
          <w:spacing w:val="-70"/>
          <w:sz w:val="28"/>
          <w:highlight w:val="none"/>
          <w14:textFill>
            <w14:solidFill>
              <w14:schemeClr w14:val="tx1"/>
            </w14:solidFill>
          </w14:textFill>
        </w:rPr>
        <w:t xml:space="preserve"> </w:t>
      </w:r>
      <w:r>
        <w:rPr>
          <w:rFonts w:eastAsia="Times New Roman"/>
          <w:color w:val="000000" w:themeColor="text1"/>
          <w:sz w:val="28"/>
          <w:highlight w:val="none"/>
          <w14:textFill>
            <w14:solidFill>
              <w14:schemeClr w14:val="tx1"/>
            </w14:solidFill>
          </w14:textFill>
        </w:rPr>
        <w:t>1</w:t>
      </w:r>
      <w:r>
        <w:rPr>
          <w:rFonts w:eastAsia="Times New Roman"/>
          <w:color w:val="000000" w:themeColor="text1"/>
          <w:spacing w:val="-2"/>
          <w:sz w:val="28"/>
          <w:highlight w:val="none"/>
          <w14:textFill>
            <w14:solidFill>
              <w14:schemeClr w14:val="tx1"/>
            </w14:solidFill>
          </w14:textFill>
        </w:rPr>
        <w:t xml:space="preserve"> </w:t>
      </w:r>
      <w:r>
        <w:rPr>
          <w:rFonts w:hint="eastAsia" w:ascii="黑体" w:eastAsia="黑体"/>
          <w:color w:val="000000" w:themeColor="text1"/>
          <w:sz w:val="28"/>
          <w:highlight w:val="none"/>
          <w14:textFill>
            <w14:solidFill>
              <w14:schemeClr w14:val="tx1"/>
            </w14:solidFill>
          </w14:textFill>
        </w:rPr>
        <w:t>发布</w:t>
      </w:r>
      <w:r>
        <w:rPr>
          <w:rFonts w:hint="eastAsia" w:ascii="黑体" w:eastAsia="黑体"/>
          <w:color w:val="000000" w:themeColor="text1"/>
          <w:sz w:val="28"/>
          <w:highlight w:val="none"/>
          <w:lang w:val="en-US" w:eastAsia="zh-CN"/>
          <w14:textFill>
            <w14:solidFill>
              <w14:schemeClr w14:val="tx1"/>
            </w14:solidFill>
          </w14:textFill>
        </w:rPr>
        <w:t xml:space="preserve">                            </w:t>
      </w:r>
      <w:r>
        <w:rPr>
          <w:rFonts w:hint="eastAsia" w:ascii="黑体" w:eastAsia="黑体"/>
          <w:color w:val="000000" w:themeColor="text1"/>
          <w:sz w:val="28"/>
          <w:highlight w:val="none"/>
          <w14:textFill>
            <w14:solidFill>
              <w14:schemeClr w14:val="tx1"/>
            </w14:solidFill>
          </w14:textFill>
        </w:rPr>
        <w:t>2014</w:t>
      </w:r>
      <w:r>
        <w:rPr>
          <w:rFonts w:hint="eastAsia" w:ascii="黑体" w:eastAsia="黑体"/>
          <w:color w:val="000000" w:themeColor="text1"/>
          <w:spacing w:val="-70"/>
          <w:sz w:val="28"/>
          <w:highlight w:val="none"/>
          <w14:textFill>
            <w14:solidFill>
              <w14:schemeClr w14:val="tx1"/>
            </w14:solidFill>
          </w14:textFill>
        </w:rPr>
        <w:t xml:space="preserve"> </w:t>
      </w:r>
      <w:r>
        <w:rPr>
          <w:rFonts w:hint="eastAsia" w:ascii="黑体" w:eastAsia="黑体"/>
          <w:color w:val="000000" w:themeColor="text1"/>
          <w:sz w:val="28"/>
          <w:highlight w:val="none"/>
          <w14:textFill>
            <w14:solidFill>
              <w14:schemeClr w14:val="tx1"/>
            </w14:solidFill>
          </w14:textFill>
        </w:rPr>
        <w:t>-</w:t>
      </w:r>
      <w:r>
        <w:rPr>
          <w:rFonts w:hint="eastAsia" w:ascii="黑体" w:eastAsia="黑体"/>
          <w:color w:val="000000" w:themeColor="text1"/>
          <w:spacing w:val="-70"/>
          <w:sz w:val="28"/>
          <w:highlight w:val="none"/>
          <w14:textFill>
            <w14:solidFill>
              <w14:schemeClr w14:val="tx1"/>
            </w14:solidFill>
          </w14:textFill>
        </w:rPr>
        <w:t xml:space="preserve"> </w:t>
      </w:r>
      <w:r>
        <w:rPr>
          <w:rFonts w:eastAsia="Times New Roman"/>
          <w:color w:val="000000" w:themeColor="text1"/>
          <w:sz w:val="28"/>
          <w:highlight w:val="none"/>
          <w14:textFill>
            <w14:solidFill>
              <w14:schemeClr w14:val="tx1"/>
            </w14:solidFill>
          </w14:textFill>
        </w:rPr>
        <w:t>1</w:t>
      </w:r>
      <w:r>
        <w:rPr>
          <w:rFonts w:eastAsia="Times New Roman"/>
          <w:color w:val="000000" w:themeColor="text1"/>
          <w:spacing w:val="-1"/>
          <w:sz w:val="28"/>
          <w:highlight w:val="none"/>
          <w14:textFill>
            <w14:solidFill>
              <w14:schemeClr w14:val="tx1"/>
            </w14:solidFill>
          </w14:textFill>
        </w:rPr>
        <w:t xml:space="preserve"> </w:t>
      </w:r>
      <w:r>
        <w:rPr>
          <w:rFonts w:hint="eastAsia" w:ascii="黑体" w:eastAsia="黑体"/>
          <w:color w:val="000000" w:themeColor="text1"/>
          <w:sz w:val="28"/>
          <w:highlight w:val="none"/>
          <w14:textFill>
            <w14:solidFill>
              <w14:schemeClr w14:val="tx1"/>
            </w14:solidFill>
          </w14:textFill>
        </w:rPr>
        <w:t>实施</w:t>
      </w:r>
    </w:p>
    <w:p>
      <w:pPr>
        <w:pStyle w:val="8"/>
        <w:rPr>
          <w:rFonts w:ascii="黑体"/>
          <w:color w:val="000000" w:themeColor="text1"/>
          <w:sz w:val="30"/>
          <w:highlight w:val="none"/>
          <w14:textFill>
            <w14:solidFill>
              <w14:schemeClr w14:val="tx1"/>
            </w14:solidFill>
          </w14:textFill>
        </w:rPr>
      </w:pPr>
    </w:p>
    <w:p>
      <w:pPr>
        <w:pStyle w:val="8"/>
        <w:rPr>
          <w:rFonts w:ascii="黑体"/>
          <w:color w:val="000000" w:themeColor="text1"/>
          <w:sz w:val="27"/>
          <w:highlight w:val="none"/>
          <w14:textFill>
            <w14:solidFill>
              <w14:schemeClr w14:val="tx1"/>
            </w14:solidFill>
          </w14:textFill>
        </w:rPr>
      </w:pPr>
    </w:p>
    <w:p>
      <w:pPr>
        <w:tabs>
          <w:tab w:val="left" w:pos="5711"/>
        </w:tabs>
        <w:ind w:right="57"/>
        <w:jc w:val="center"/>
        <w:rPr>
          <w:rFonts w:ascii="黑体" w:eastAsia="黑体"/>
          <w:color w:val="000000" w:themeColor="text1"/>
          <w:sz w:val="28"/>
          <w:highlight w:val="none"/>
          <w14:textFill>
            <w14:solidFill>
              <w14:schemeClr w14:val="tx1"/>
            </w14:solidFill>
          </w14:textFill>
        </w:rPr>
      </w:pPr>
      <w:r>
        <w:rPr>
          <w:rFonts w:hint="eastAsia" w:ascii="黑体" w:eastAsia="黑体"/>
          <w:color w:val="000000" w:themeColor="text1"/>
          <w:spacing w:val="41"/>
          <w:w w:val="130"/>
          <w:sz w:val="28"/>
          <w:highlight w:val="none"/>
          <w14:textFill>
            <w14:solidFill>
              <w14:schemeClr w14:val="tx1"/>
            </w14:solidFill>
          </w14:textFill>
        </w:rPr>
        <w:t>中</w:t>
      </w:r>
      <w:r>
        <w:rPr>
          <w:rFonts w:hint="eastAsia" w:ascii="黑体" w:eastAsia="黑体"/>
          <w:color w:val="000000" w:themeColor="text1"/>
          <w:spacing w:val="38"/>
          <w:w w:val="130"/>
          <w:sz w:val="28"/>
          <w:highlight w:val="none"/>
          <w14:textFill>
            <w14:solidFill>
              <w14:schemeClr w14:val="tx1"/>
            </w14:solidFill>
          </w14:textFill>
        </w:rPr>
        <w:t>国</w:t>
      </w:r>
      <w:r>
        <w:rPr>
          <w:rFonts w:hint="eastAsia" w:ascii="黑体" w:eastAsia="黑体"/>
          <w:color w:val="000000" w:themeColor="text1"/>
          <w:spacing w:val="41"/>
          <w:w w:val="130"/>
          <w:sz w:val="28"/>
          <w:highlight w:val="none"/>
          <w14:textFill>
            <w14:solidFill>
              <w14:schemeClr w14:val="tx1"/>
            </w14:solidFill>
          </w14:textFill>
        </w:rPr>
        <w:t>保</w:t>
      </w:r>
      <w:r>
        <w:rPr>
          <w:rFonts w:hint="eastAsia" w:ascii="黑体" w:eastAsia="黑体"/>
          <w:color w:val="000000" w:themeColor="text1"/>
          <w:spacing w:val="38"/>
          <w:w w:val="130"/>
          <w:sz w:val="28"/>
          <w:highlight w:val="none"/>
          <w14:textFill>
            <w14:solidFill>
              <w14:schemeClr w14:val="tx1"/>
            </w14:solidFill>
          </w14:textFill>
        </w:rPr>
        <w:t>险监</w:t>
      </w:r>
      <w:r>
        <w:rPr>
          <w:rFonts w:hint="eastAsia" w:ascii="黑体" w:eastAsia="黑体"/>
          <w:color w:val="000000" w:themeColor="text1"/>
          <w:spacing w:val="41"/>
          <w:w w:val="130"/>
          <w:sz w:val="28"/>
          <w:highlight w:val="none"/>
          <w14:textFill>
            <w14:solidFill>
              <w14:schemeClr w14:val="tx1"/>
            </w14:solidFill>
          </w14:textFill>
        </w:rPr>
        <w:t>督</w:t>
      </w:r>
      <w:r>
        <w:rPr>
          <w:rFonts w:hint="eastAsia" w:ascii="黑体" w:eastAsia="黑体"/>
          <w:color w:val="000000" w:themeColor="text1"/>
          <w:spacing w:val="38"/>
          <w:w w:val="130"/>
          <w:sz w:val="28"/>
          <w:highlight w:val="none"/>
          <w14:textFill>
            <w14:solidFill>
              <w14:schemeClr w14:val="tx1"/>
            </w14:solidFill>
          </w14:textFill>
        </w:rPr>
        <w:t>管</w:t>
      </w:r>
      <w:r>
        <w:rPr>
          <w:rFonts w:hint="eastAsia" w:ascii="黑体" w:eastAsia="黑体"/>
          <w:color w:val="000000" w:themeColor="text1"/>
          <w:spacing w:val="41"/>
          <w:w w:val="130"/>
          <w:sz w:val="28"/>
          <w:highlight w:val="none"/>
          <w14:textFill>
            <w14:solidFill>
              <w14:schemeClr w14:val="tx1"/>
            </w14:solidFill>
          </w14:textFill>
        </w:rPr>
        <w:t>理</w:t>
      </w:r>
      <w:r>
        <w:rPr>
          <w:rFonts w:hint="eastAsia" w:ascii="黑体" w:eastAsia="黑体"/>
          <w:color w:val="000000" w:themeColor="text1"/>
          <w:spacing w:val="38"/>
          <w:w w:val="130"/>
          <w:sz w:val="28"/>
          <w:highlight w:val="none"/>
          <w14:textFill>
            <w14:solidFill>
              <w14:schemeClr w14:val="tx1"/>
            </w14:solidFill>
          </w14:textFill>
        </w:rPr>
        <w:t>委员</w:t>
      </w:r>
      <w:r>
        <w:rPr>
          <w:rFonts w:hint="eastAsia" w:ascii="黑体" w:eastAsia="黑体"/>
          <w:color w:val="000000" w:themeColor="text1"/>
          <w:w w:val="130"/>
          <w:sz w:val="28"/>
          <w:highlight w:val="none"/>
          <w14:textFill>
            <w14:solidFill>
              <w14:schemeClr w14:val="tx1"/>
            </w14:solidFill>
          </w14:textFill>
        </w:rPr>
        <w:t>会</w:t>
      </w:r>
      <w:r>
        <w:rPr>
          <w:rFonts w:hint="eastAsia" w:ascii="黑体" w:eastAsia="黑体"/>
          <w:color w:val="000000" w:themeColor="text1"/>
          <w:w w:val="130"/>
          <w:sz w:val="28"/>
          <w:highlight w:val="none"/>
          <w14:textFill>
            <w14:solidFill>
              <w14:schemeClr w14:val="tx1"/>
            </w14:solidFill>
          </w14:textFill>
        </w:rPr>
        <w:tab/>
      </w:r>
      <w:r>
        <w:rPr>
          <w:rFonts w:hint="eastAsia" w:ascii="黑体" w:eastAsia="黑体"/>
          <w:color w:val="000000" w:themeColor="text1"/>
          <w:w w:val="120"/>
          <w:position w:val="3"/>
          <w:sz w:val="28"/>
          <w:highlight w:val="none"/>
          <w14:textFill>
            <w14:solidFill>
              <w14:schemeClr w14:val="tx1"/>
            </w14:solidFill>
          </w14:textFill>
        </w:rPr>
        <w:t>发</w:t>
      </w:r>
      <w:r>
        <w:rPr>
          <w:rFonts w:hint="eastAsia" w:ascii="黑体" w:eastAsia="黑体"/>
          <w:color w:val="000000" w:themeColor="text1"/>
          <w:spacing w:val="-9"/>
          <w:w w:val="120"/>
          <w:position w:val="3"/>
          <w:sz w:val="28"/>
          <w:highlight w:val="none"/>
          <w14:textFill>
            <w14:solidFill>
              <w14:schemeClr w14:val="tx1"/>
            </w14:solidFill>
          </w14:textFill>
        </w:rPr>
        <w:t xml:space="preserve"> </w:t>
      </w:r>
      <w:r>
        <w:rPr>
          <w:rFonts w:hint="eastAsia" w:ascii="黑体" w:eastAsia="黑体"/>
          <w:color w:val="000000" w:themeColor="text1"/>
          <w:w w:val="120"/>
          <w:position w:val="3"/>
          <w:sz w:val="28"/>
          <w:highlight w:val="none"/>
          <w14:textFill>
            <w14:solidFill>
              <w14:schemeClr w14:val="tx1"/>
            </w14:solidFill>
          </w14:textFill>
        </w:rPr>
        <w:t>布</w:t>
      </w:r>
    </w:p>
    <w:p>
      <w:pPr>
        <w:jc w:val="center"/>
        <w:rPr>
          <w:rFonts w:ascii="黑体" w:eastAsia="黑体"/>
          <w:color w:val="000000" w:themeColor="text1"/>
          <w:sz w:val="28"/>
          <w:highlight w:val="none"/>
          <w14:textFill>
            <w14:solidFill>
              <w14:schemeClr w14:val="tx1"/>
            </w14:solidFill>
          </w14:textFill>
        </w:rPr>
        <w:sectPr>
          <w:pgSz w:w="11910" w:h="16840"/>
          <w:pgMar w:top="1440" w:right="1800" w:bottom="1440" w:left="1800" w:header="720" w:footer="720" w:gutter="0"/>
          <w:cols w:space="720" w:num="1"/>
        </w:sectPr>
      </w:pPr>
    </w:p>
    <w:p>
      <w:pPr>
        <w:pStyle w:val="8"/>
        <w:spacing w:before="4"/>
        <w:rPr>
          <w:rFonts w:ascii="Times New Roman"/>
          <w:color w:val="000000" w:themeColor="text1"/>
          <w:sz w:val="17"/>
          <w:highlight w:val="none"/>
          <w14:textFill>
            <w14:solidFill>
              <w14:schemeClr w14:val="tx1"/>
            </w14:solidFill>
          </w14:textFill>
        </w:rPr>
      </w:pPr>
    </w:p>
    <w:p>
      <w:pPr>
        <w:pStyle w:val="2"/>
        <w:numPr>
          <w:ilvl w:val="0"/>
          <w:numId w:val="0"/>
        </w:numPr>
        <w:tabs>
          <w:tab w:val="left" w:pos="1016"/>
        </w:tabs>
        <w:autoSpaceDE w:val="0"/>
        <w:autoSpaceDN w:val="0"/>
        <w:spacing w:before="233" w:after="0"/>
        <w:ind w:leftChars="0"/>
        <w:jc w:val="cente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bidi="zh-CN"/>
          <w14:textFill>
            <w14:solidFill>
              <w14:schemeClr w14:val="tx1"/>
            </w14:solidFill>
          </w14:textFill>
        </w:rPr>
        <w:t xml:space="preserve">第二部分  </w:t>
      </w:r>
      <w: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t>目</w:t>
      </w:r>
      <w: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tab/>
      </w:r>
      <w: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t>次</w:t>
      </w:r>
    </w:p>
    <w:p>
      <w:pPr>
        <w:pStyle w:val="8"/>
        <w:rPr>
          <w:rFonts w:ascii="黑体"/>
          <w:color w:val="000000" w:themeColor="text1"/>
          <w:sz w:val="32"/>
          <w:highlight w:val="none"/>
          <w14:textFill>
            <w14:solidFill>
              <w14:schemeClr w14:val="tx1"/>
            </w14:solidFill>
          </w14:textFill>
        </w:rPr>
      </w:pPr>
    </w:p>
    <w:p>
      <w:pPr>
        <w:pStyle w:val="8"/>
        <w:rPr>
          <w:rFonts w:ascii="黑体"/>
          <w:color w:val="000000" w:themeColor="text1"/>
          <w:sz w:val="32"/>
          <w:highlight w:val="none"/>
          <w14:textFill>
            <w14:solidFill>
              <w14:schemeClr w14:val="tx1"/>
            </w14:solidFill>
          </w14:textFill>
        </w:rPr>
      </w:pPr>
    </w:p>
    <w:p>
      <w:pPr>
        <w:pStyle w:val="8"/>
        <w:spacing w:before="3"/>
        <w:rPr>
          <w:rFonts w:ascii="黑体"/>
          <w:color w:val="000000" w:themeColor="text1"/>
          <w:sz w:val="24"/>
          <w:highlight w:val="none"/>
          <w14:textFill>
            <w14:solidFill>
              <w14:schemeClr w14:val="tx1"/>
            </w14:solidFill>
          </w14:textFill>
        </w:rPr>
      </w:pPr>
    </w:p>
    <w:p>
      <w:pPr>
        <w:pStyle w:val="12"/>
        <w:tabs>
          <w:tab w:val="right" w:leader="dot" w:pos="9737"/>
        </w:tabs>
        <w:spacing w:before="0"/>
        <w:ind w:left="496"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前言</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II</w:t>
      </w:r>
      <w:r>
        <w:rPr>
          <w:rFonts w:ascii="Times New Roman" w:eastAsia="Times New Roman"/>
          <w:color w:val="000000" w:themeColor="text1"/>
          <w:highlight w:val="none"/>
          <w14:textFill>
            <w14:solidFill>
              <w14:schemeClr w14:val="tx1"/>
            </w14:solidFill>
          </w14:textFill>
        </w:rPr>
        <w:fldChar w:fldCharType="end"/>
      </w:r>
    </w:p>
    <w:p>
      <w:pPr>
        <w:pStyle w:val="12"/>
        <w:tabs>
          <w:tab w:val="right" w:leader="dot" w:pos="9737"/>
        </w:tabs>
        <w:ind w:left="496"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引言</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III</w:t>
      </w:r>
      <w:r>
        <w:rPr>
          <w:rFonts w:ascii="Times New Roman" w:eastAsia="Times New Roman"/>
          <w:color w:val="000000" w:themeColor="text1"/>
          <w:highlight w:val="none"/>
          <w14:textFill>
            <w14:solidFill>
              <w14:schemeClr w14:val="tx1"/>
            </w14:solidFill>
          </w14:textFill>
        </w:rPr>
        <w:fldChar w:fldCharType="end"/>
      </w:r>
    </w:p>
    <w:p>
      <w:pPr>
        <w:pStyle w:val="12"/>
        <w:tabs>
          <w:tab w:val="right" w:leader="dot" w:pos="9737"/>
        </w:tabs>
        <w:spacing w:before="120"/>
        <w:ind w:left="496"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人身</w:t>
      </w:r>
      <w:r>
        <w:rPr>
          <w:color w:val="000000" w:themeColor="text1"/>
          <w:spacing w:val="-3"/>
          <w:highlight w:val="none"/>
          <w14:textFill>
            <w14:solidFill>
              <w14:schemeClr w14:val="tx1"/>
            </w14:solidFill>
          </w14:textFill>
        </w:rPr>
        <w:t>保</w:t>
      </w:r>
      <w:r>
        <w:rPr>
          <w:color w:val="000000" w:themeColor="text1"/>
          <w:highlight w:val="none"/>
          <w14:textFill>
            <w14:solidFill>
              <w14:schemeClr w14:val="tx1"/>
            </w14:solidFill>
          </w14:textFill>
        </w:rPr>
        <w:t>险</w:t>
      </w:r>
      <w:r>
        <w:rPr>
          <w:color w:val="000000" w:themeColor="text1"/>
          <w:spacing w:val="-3"/>
          <w:highlight w:val="none"/>
          <w14:textFill>
            <w14:solidFill>
              <w14:schemeClr w14:val="tx1"/>
            </w14:solidFill>
          </w14:textFill>
        </w:rPr>
        <w:t>伤</w:t>
      </w:r>
      <w:r>
        <w:rPr>
          <w:color w:val="000000" w:themeColor="text1"/>
          <w:highlight w:val="none"/>
          <w14:textFill>
            <w14:solidFill>
              <w14:schemeClr w14:val="tx1"/>
            </w14:solidFill>
          </w14:textFill>
        </w:rPr>
        <w:t>残</w:t>
      </w:r>
      <w:r>
        <w:rPr>
          <w:color w:val="000000" w:themeColor="text1"/>
          <w:spacing w:val="-3"/>
          <w:highlight w:val="none"/>
          <w14:textFill>
            <w14:solidFill>
              <w14:schemeClr w14:val="tx1"/>
            </w14:solidFill>
          </w14:textFill>
        </w:rPr>
        <w:t>评</w:t>
      </w:r>
      <w:r>
        <w:rPr>
          <w:color w:val="000000" w:themeColor="text1"/>
          <w:highlight w:val="none"/>
          <w14:textFill>
            <w14:solidFill>
              <w14:schemeClr w14:val="tx1"/>
            </w14:solidFill>
          </w14:textFill>
        </w:rPr>
        <w:t>定</w:t>
      </w:r>
      <w:r>
        <w:rPr>
          <w:color w:val="000000" w:themeColor="text1"/>
          <w:spacing w:val="-3"/>
          <w:highlight w:val="none"/>
          <w14:textFill>
            <w14:solidFill>
              <w14:schemeClr w14:val="tx1"/>
            </w14:solidFill>
          </w14:textFill>
        </w:rPr>
        <w:t>标</w:t>
      </w:r>
      <w:r>
        <w:rPr>
          <w:color w:val="000000" w:themeColor="text1"/>
          <w:highlight w:val="none"/>
          <w14:textFill>
            <w14:solidFill>
              <w14:schemeClr w14:val="tx1"/>
            </w14:solidFill>
          </w14:textFill>
        </w:rPr>
        <w:t>准</w:t>
      </w:r>
      <w:r>
        <w:rPr>
          <w:color w:val="000000" w:themeColor="text1"/>
          <w:spacing w:val="-3"/>
          <w:highlight w:val="none"/>
          <w14:textFill>
            <w14:solidFill>
              <w14:schemeClr w14:val="tx1"/>
            </w14:solidFill>
          </w14:textFill>
        </w:rPr>
        <w:t>及</w:t>
      </w:r>
      <w:r>
        <w:rPr>
          <w:color w:val="000000" w:themeColor="text1"/>
          <w:highlight w:val="none"/>
          <w14:textFill>
            <w14:solidFill>
              <w14:schemeClr w14:val="tx1"/>
            </w14:solidFill>
          </w14:textFill>
        </w:rPr>
        <w:t>代码</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w:t>
      </w:r>
      <w:r>
        <w:rPr>
          <w:rFonts w:ascii="Times New Roman" w:eastAsia="Times New Roman"/>
          <w:color w:val="000000" w:themeColor="text1"/>
          <w:highlight w:val="none"/>
          <w14:textFill>
            <w14:solidFill>
              <w14:schemeClr w14:val="tx1"/>
            </w14:solidFill>
          </w14:textFill>
        </w:rPr>
        <w:fldChar w:fldCharType="end"/>
      </w:r>
    </w:p>
    <w:p>
      <w:pPr>
        <w:pStyle w:val="12"/>
        <w:numPr>
          <w:ilvl w:val="0"/>
          <w:numId w:val="9"/>
        </w:numPr>
        <w:tabs>
          <w:tab w:val="left" w:pos="708"/>
          <w:tab w:val="right" w:leader="dot" w:pos="9737"/>
        </w:tabs>
        <w:spacing w:before="123"/>
        <w:ind w:hanging="21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范围</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w:t>
      </w:r>
      <w:r>
        <w:rPr>
          <w:rFonts w:ascii="Times New Roman" w:eastAsia="Times New Roman"/>
          <w:color w:val="000000" w:themeColor="text1"/>
          <w:highlight w:val="none"/>
          <w14:textFill>
            <w14:solidFill>
              <w14:schemeClr w14:val="tx1"/>
            </w14:solidFill>
          </w14:textFill>
        </w:rPr>
        <w:fldChar w:fldCharType="end"/>
      </w:r>
    </w:p>
    <w:p>
      <w:pPr>
        <w:pStyle w:val="12"/>
        <w:numPr>
          <w:ilvl w:val="0"/>
          <w:numId w:val="9"/>
        </w:numPr>
        <w:tabs>
          <w:tab w:val="left" w:pos="708"/>
          <w:tab w:val="right" w:leader="dot" w:pos="9737"/>
        </w:tabs>
        <w:spacing w:before="43"/>
        <w:ind w:hanging="21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术</w:t>
      </w:r>
      <w:r>
        <w:rPr>
          <w:color w:val="000000" w:themeColor="text1"/>
          <w:spacing w:val="-3"/>
          <w:highlight w:val="none"/>
          <w14:textFill>
            <w14:solidFill>
              <w14:schemeClr w14:val="tx1"/>
            </w14:solidFill>
          </w14:textFill>
        </w:rPr>
        <w:t>语</w:t>
      </w:r>
      <w:r>
        <w:rPr>
          <w:color w:val="000000" w:themeColor="text1"/>
          <w:highlight w:val="none"/>
          <w14:textFill>
            <w14:solidFill>
              <w14:schemeClr w14:val="tx1"/>
            </w14:solidFill>
          </w14:textFill>
        </w:rPr>
        <w:t>与</w:t>
      </w:r>
      <w:r>
        <w:rPr>
          <w:color w:val="000000" w:themeColor="text1"/>
          <w:spacing w:val="-3"/>
          <w:highlight w:val="none"/>
          <w14:textFill>
            <w14:solidFill>
              <w14:schemeClr w14:val="tx1"/>
            </w14:solidFill>
          </w14:textFill>
        </w:rPr>
        <w:t>定</w:t>
      </w:r>
      <w:r>
        <w:rPr>
          <w:color w:val="000000" w:themeColor="text1"/>
          <w:highlight w:val="none"/>
          <w14:textFill>
            <w14:solidFill>
              <w14:schemeClr w14:val="tx1"/>
            </w14:solidFill>
          </w14:textFill>
        </w:rPr>
        <w:t>义</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w:t>
      </w:r>
      <w:r>
        <w:rPr>
          <w:rFonts w:ascii="Times New Roman" w:eastAsia="Times New Roman"/>
          <w:color w:val="000000" w:themeColor="text1"/>
          <w:highlight w:val="none"/>
          <w14:textFill>
            <w14:solidFill>
              <w14:schemeClr w14:val="tx1"/>
            </w14:solidFill>
          </w14:textFill>
        </w:rPr>
        <w:fldChar w:fldCharType="end"/>
      </w:r>
    </w:p>
    <w:p>
      <w:pPr>
        <w:pStyle w:val="12"/>
        <w:numPr>
          <w:ilvl w:val="0"/>
          <w:numId w:val="9"/>
        </w:numPr>
        <w:tabs>
          <w:tab w:val="left" w:pos="708"/>
          <w:tab w:val="right" w:leader="dot" w:pos="9737"/>
        </w:tabs>
        <w:spacing w:before="43"/>
        <w:ind w:hanging="21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伤</w:t>
      </w:r>
      <w:r>
        <w:rPr>
          <w:color w:val="000000" w:themeColor="text1"/>
          <w:spacing w:val="-3"/>
          <w:highlight w:val="none"/>
          <w14:textFill>
            <w14:solidFill>
              <w14:schemeClr w14:val="tx1"/>
            </w14:solidFill>
          </w14:textFill>
        </w:rPr>
        <w:t>残</w:t>
      </w:r>
      <w:r>
        <w:rPr>
          <w:color w:val="000000" w:themeColor="text1"/>
          <w:highlight w:val="none"/>
          <w14:textFill>
            <w14:solidFill>
              <w14:schemeClr w14:val="tx1"/>
            </w14:solidFill>
          </w14:textFill>
        </w:rPr>
        <w:t>的</w:t>
      </w:r>
      <w:r>
        <w:rPr>
          <w:color w:val="000000" w:themeColor="text1"/>
          <w:spacing w:val="-3"/>
          <w:highlight w:val="none"/>
          <w14:textFill>
            <w14:solidFill>
              <w14:schemeClr w14:val="tx1"/>
            </w14:solidFill>
          </w14:textFill>
        </w:rPr>
        <w:t>评</w:t>
      </w:r>
      <w:r>
        <w:rPr>
          <w:color w:val="000000" w:themeColor="text1"/>
          <w:highlight w:val="none"/>
          <w14:textFill>
            <w14:solidFill>
              <w14:schemeClr w14:val="tx1"/>
            </w14:solidFill>
          </w14:textFill>
        </w:rPr>
        <w:t>定</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9"/>
        </w:numPr>
        <w:tabs>
          <w:tab w:val="left" w:pos="867"/>
          <w:tab w:val="right" w:leader="dot" w:pos="9737"/>
        </w:tabs>
        <w:spacing w:before="119"/>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确</w:t>
      </w:r>
      <w:r>
        <w:rPr>
          <w:color w:val="000000" w:themeColor="text1"/>
          <w:highlight w:val="none"/>
          <w14:textFill>
            <w14:solidFill>
              <w14:schemeClr w14:val="tx1"/>
            </w14:solidFill>
          </w14:textFill>
        </w:rPr>
        <w:t>定</w:t>
      </w:r>
      <w:r>
        <w:rPr>
          <w:color w:val="000000" w:themeColor="text1"/>
          <w:spacing w:val="-3"/>
          <w:highlight w:val="none"/>
          <w14:textFill>
            <w14:solidFill>
              <w14:schemeClr w14:val="tx1"/>
            </w14:solidFill>
          </w14:textFill>
        </w:rPr>
        <w:t>伤</w:t>
      </w:r>
      <w:r>
        <w:rPr>
          <w:color w:val="000000" w:themeColor="text1"/>
          <w:highlight w:val="none"/>
          <w14:textFill>
            <w14:solidFill>
              <w14:schemeClr w14:val="tx1"/>
            </w14:solidFill>
          </w14:textFill>
        </w:rPr>
        <w:t>残</w:t>
      </w:r>
      <w:r>
        <w:rPr>
          <w:color w:val="000000" w:themeColor="text1"/>
          <w:spacing w:val="-3"/>
          <w:highlight w:val="none"/>
          <w14:textFill>
            <w14:solidFill>
              <w14:schemeClr w14:val="tx1"/>
            </w14:solidFill>
          </w14:textFill>
        </w:rPr>
        <w:t>类</w:t>
      </w:r>
      <w:r>
        <w:rPr>
          <w:color w:val="000000" w:themeColor="text1"/>
          <w:highlight w:val="none"/>
          <w14:textFill>
            <w14:solidFill>
              <w14:schemeClr w14:val="tx1"/>
            </w14:solidFill>
          </w14:textFill>
        </w:rPr>
        <w:t>别</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9"/>
        </w:numPr>
        <w:tabs>
          <w:tab w:val="left" w:pos="867"/>
          <w:tab w:val="right" w:leader="dot" w:pos="9737"/>
        </w:tabs>
        <w:spacing w:before="123"/>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确</w:t>
      </w:r>
      <w:r>
        <w:rPr>
          <w:color w:val="000000" w:themeColor="text1"/>
          <w:highlight w:val="none"/>
          <w14:textFill>
            <w14:solidFill>
              <w14:schemeClr w14:val="tx1"/>
            </w14:solidFill>
          </w14:textFill>
        </w:rPr>
        <w:t>定</w:t>
      </w:r>
      <w:r>
        <w:rPr>
          <w:color w:val="000000" w:themeColor="text1"/>
          <w:spacing w:val="-3"/>
          <w:highlight w:val="none"/>
          <w14:textFill>
            <w14:solidFill>
              <w14:schemeClr w14:val="tx1"/>
            </w14:solidFill>
          </w14:textFill>
        </w:rPr>
        <w:t>伤</w:t>
      </w:r>
      <w:r>
        <w:rPr>
          <w:color w:val="000000" w:themeColor="text1"/>
          <w:highlight w:val="none"/>
          <w14:textFill>
            <w14:solidFill>
              <w14:schemeClr w14:val="tx1"/>
            </w14:solidFill>
          </w14:textFill>
        </w:rPr>
        <w:t>残</w:t>
      </w:r>
      <w:r>
        <w:rPr>
          <w:color w:val="000000" w:themeColor="text1"/>
          <w:spacing w:val="-3"/>
          <w:highlight w:val="none"/>
          <w14:textFill>
            <w14:solidFill>
              <w14:schemeClr w14:val="tx1"/>
            </w14:solidFill>
          </w14:textFill>
        </w:rPr>
        <w:t>等</w:t>
      </w:r>
      <w:r>
        <w:rPr>
          <w:color w:val="000000" w:themeColor="text1"/>
          <w:highlight w:val="none"/>
          <w14:textFill>
            <w14:solidFill>
              <w14:schemeClr w14:val="tx1"/>
            </w14:solidFill>
          </w14:textFill>
        </w:rPr>
        <w:t>级</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9"/>
        </w:numPr>
        <w:tabs>
          <w:tab w:val="left" w:pos="867"/>
          <w:tab w:val="right" w:leader="dot" w:pos="9737"/>
        </w:tabs>
        <w:spacing w:before="119"/>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确</w:t>
      </w:r>
      <w:r>
        <w:rPr>
          <w:color w:val="000000" w:themeColor="text1"/>
          <w:highlight w:val="none"/>
          <w14:textFill>
            <w14:solidFill>
              <w14:schemeClr w14:val="tx1"/>
            </w14:solidFill>
          </w14:textFill>
        </w:rPr>
        <w:t>定</w:t>
      </w:r>
      <w:r>
        <w:rPr>
          <w:color w:val="000000" w:themeColor="text1"/>
          <w:spacing w:val="-3"/>
          <w:highlight w:val="none"/>
          <w14:textFill>
            <w14:solidFill>
              <w14:schemeClr w14:val="tx1"/>
            </w14:solidFill>
          </w14:textFill>
        </w:rPr>
        <w:t>保</w:t>
      </w:r>
      <w:r>
        <w:rPr>
          <w:color w:val="000000" w:themeColor="text1"/>
          <w:highlight w:val="none"/>
          <w14:textFill>
            <w14:solidFill>
              <w14:schemeClr w14:val="tx1"/>
            </w14:solidFill>
          </w14:textFill>
        </w:rPr>
        <w:t>险</w:t>
      </w:r>
      <w:r>
        <w:rPr>
          <w:color w:val="000000" w:themeColor="text1"/>
          <w:spacing w:val="-3"/>
          <w:highlight w:val="none"/>
          <w14:textFill>
            <w14:solidFill>
              <w14:schemeClr w14:val="tx1"/>
            </w14:solidFill>
          </w14:textFill>
        </w:rPr>
        <w:t>金</w:t>
      </w:r>
      <w:r>
        <w:rPr>
          <w:color w:val="000000" w:themeColor="text1"/>
          <w:highlight w:val="none"/>
          <w14:textFill>
            <w14:solidFill>
              <w14:schemeClr w14:val="tx1"/>
            </w14:solidFill>
          </w14:textFill>
        </w:rPr>
        <w:t>给</w:t>
      </w:r>
      <w:r>
        <w:rPr>
          <w:color w:val="000000" w:themeColor="text1"/>
          <w:spacing w:val="-3"/>
          <w:highlight w:val="none"/>
          <w14:textFill>
            <w14:solidFill>
              <w14:schemeClr w14:val="tx1"/>
            </w14:solidFill>
          </w14:textFill>
        </w:rPr>
        <w:t>付</w:t>
      </w:r>
      <w:r>
        <w:rPr>
          <w:color w:val="000000" w:themeColor="text1"/>
          <w:highlight w:val="none"/>
          <w14:textFill>
            <w14:solidFill>
              <w14:schemeClr w14:val="tx1"/>
            </w14:solidFill>
          </w14:textFill>
        </w:rPr>
        <w:t>比例</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2</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9"/>
        </w:numPr>
        <w:tabs>
          <w:tab w:val="left" w:pos="867"/>
          <w:tab w:val="right" w:leader="dot" w:pos="9737"/>
        </w:tabs>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多</w:t>
      </w:r>
      <w:r>
        <w:rPr>
          <w:color w:val="000000" w:themeColor="text1"/>
          <w:highlight w:val="none"/>
          <w14:textFill>
            <w14:solidFill>
              <w14:schemeClr w14:val="tx1"/>
            </w14:solidFill>
          </w14:textFill>
        </w:rPr>
        <w:t>处</w:t>
      </w:r>
      <w:r>
        <w:rPr>
          <w:color w:val="000000" w:themeColor="text1"/>
          <w:spacing w:val="-3"/>
          <w:highlight w:val="none"/>
          <w14:textFill>
            <w14:solidFill>
              <w14:schemeClr w14:val="tx1"/>
            </w14:solidFill>
          </w14:textFill>
        </w:rPr>
        <w:t>伤</w:t>
      </w:r>
      <w:r>
        <w:rPr>
          <w:color w:val="000000" w:themeColor="text1"/>
          <w:highlight w:val="none"/>
          <w14:textFill>
            <w14:solidFill>
              <w14:schemeClr w14:val="tx1"/>
            </w14:solidFill>
          </w14:textFill>
        </w:rPr>
        <w:t>残</w:t>
      </w:r>
      <w:r>
        <w:rPr>
          <w:color w:val="000000" w:themeColor="text1"/>
          <w:spacing w:val="-3"/>
          <w:highlight w:val="none"/>
          <w14:textFill>
            <w14:solidFill>
              <w14:schemeClr w14:val="tx1"/>
            </w14:solidFill>
          </w14:textFill>
        </w:rPr>
        <w:t>的</w:t>
      </w:r>
      <w:r>
        <w:rPr>
          <w:color w:val="000000" w:themeColor="text1"/>
          <w:highlight w:val="none"/>
          <w14:textFill>
            <w14:solidFill>
              <w14:schemeClr w14:val="tx1"/>
            </w14:solidFill>
          </w14:textFill>
        </w:rPr>
        <w:t>评</w:t>
      </w:r>
      <w:r>
        <w:rPr>
          <w:color w:val="000000" w:themeColor="text1"/>
          <w:spacing w:val="-3"/>
          <w:highlight w:val="none"/>
          <w14:textFill>
            <w14:solidFill>
              <w14:schemeClr w14:val="tx1"/>
            </w14:solidFill>
          </w14:textFill>
        </w:rPr>
        <w:t>定</w:t>
      </w:r>
      <w:r>
        <w:rPr>
          <w:color w:val="000000" w:themeColor="text1"/>
          <w:highlight w:val="none"/>
          <w14:textFill>
            <w14:solidFill>
              <w14:schemeClr w14:val="tx1"/>
            </w14:solidFill>
          </w14:textFill>
        </w:rPr>
        <w:t>原则</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2</w:t>
      </w:r>
      <w:r>
        <w:rPr>
          <w:rFonts w:ascii="Times New Roman" w:eastAsia="Times New Roman"/>
          <w:color w:val="000000" w:themeColor="text1"/>
          <w:highlight w:val="none"/>
          <w14:textFill>
            <w14:solidFill>
              <w14:schemeClr w14:val="tx1"/>
            </w14:solidFill>
          </w14:textFill>
        </w:rPr>
        <w:fldChar w:fldCharType="end"/>
      </w:r>
    </w:p>
    <w:p>
      <w:pPr>
        <w:pStyle w:val="12"/>
        <w:numPr>
          <w:ilvl w:val="0"/>
          <w:numId w:val="9"/>
        </w:numPr>
        <w:tabs>
          <w:tab w:val="left" w:pos="708"/>
          <w:tab w:val="right" w:leader="dot" w:pos="9737"/>
        </w:tabs>
        <w:spacing w:before="120"/>
        <w:ind w:hanging="21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伤</w:t>
      </w:r>
      <w:r>
        <w:rPr>
          <w:color w:val="000000" w:themeColor="text1"/>
          <w:spacing w:val="-3"/>
          <w:highlight w:val="none"/>
          <w14:textFill>
            <w14:solidFill>
              <w14:schemeClr w14:val="tx1"/>
            </w14:solidFill>
          </w14:textFill>
        </w:rPr>
        <w:t>残</w:t>
      </w:r>
      <w:r>
        <w:rPr>
          <w:color w:val="000000" w:themeColor="text1"/>
          <w:highlight w:val="none"/>
          <w14:textFill>
            <w14:solidFill>
              <w14:schemeClr w14:val="tx1"/>
            </w14:solidFill>
          </w14:textFill>
        </w:rPr>
        <w:t>内</w:t>
      </w:r>
      <w:r>
        <w:rPr>
          <w:color w:val="000000" w:themeColor="text1"/>
          <w:spacing w:val="-3"/>
          <w:highlight w:val="none"/>
          <w14:textFill>
            <w14:solidFill>
              <w14:schemeClr w14:val="tx1"/>
            </w14:solidFill>
          </w14:textFill>
        </w:rPr>
        <w:t>容</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等</w:t>
      </w:r>
      <w:r>
        <w:rPr>
          <w:color w:val="000000" w:themeColor="text1"/>
          <w:highlight w:val="none"/>
          <w14:textFill>
            <w14:solidFill>
              <w14:schemeClr w14:val="tx1"/>
            </w14:solidFill>
          </w14:textFill>
        </w:rPr>
        <w:t>级</w:t>
      </w:r>
      <w:r>
        <w:rPr>
          <w:color w:val="000000" w:themeColor="text1"/>
          <w:spacing w:val="-3"/>
          <w:highlight w:val="none"/>
          <w14:textFill>
            <w14:solidFill>
              <w14:schemeClr w14:val="tx1"/>
            </w14:solidFill>
          </w14:textFill>
        </w:rPr>
        <w:t>及</w:t>
      </w:r>
      <w:r>
        <w:rPr>
          <w:color w:val="000000" w:themeColor="text1"/>
          <w:highlight w:val="none"/>
          <w14:textFill>
            <w14:solidFill>
              <w14:schemeClr w14:val="tx1"/>
            </w14:solidFill>
          </w14:textFill>
        </w:rPr>
        <w:t>代码</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2</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9"/>
        </w:numPr>
        <w:tabs>
          <w:tab w:val="left" w:pos="867"/>
          <w:tab w:val="right" w:leader="dot" w:pos="9737"/>
        </w:tabs>
        <w:spacing w:before="12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神</w:t>
      </w:r>
      <w:r>
        <w:rPr>
          <w:color w:val="000000" w:themeColor="text1"/>
          <w:highlight w:val="none"/>
          <w14:textFill>
            <w14:solidFill>
              <w14:schemeClr w14:val="tx1"/>
            </w14:solidFill>
          </w14:textFill>
        </w:rPr>
        <w:t>经</w:t>
      </w:r>
      <w:r>
        <w:rPr>
          <w:color w:val="000000" w:themeColor="text1"/>
          <w:spacing w:val="-3"/>
          <w:highlight w:val="none"/>
          <w14:textFill>
            <w14:solidFill>
              <w14:schemeClr w14:val="tx1"/>
            </w14:solidFill>
          </w14:textFill>
        </w:rPr>
        <w:t>系</w:t>
      </w:r>
      <w:r>
        <w:rPr>
          <w:color w:val="000000" w:themeColor="text1"/>
          <w:highlight w:val="none"/>
          <w14:textFill>
            <w14:solidFill>
              <w14:schemeClr w14:val="tx1"/>
            </w14:solidFill>
          </w14:textFill>
        </w:rPr>
        <w:t>统</w:t>
      </w:r>
      <w:r>
        <w:rPr>
          <w:color w:val="000000" w:themeColor="text1"/>
          <w:spacing w:val="-3"/>
          <w:highlight w:val="none"/>
          <w14:textFill>
            <w14:solidFill>
              <w14:schemeClr w14:val="tx1"/>
            </w14:solidFill>
          </w14:textFill>
        </w:rPr>
        <w:t>的</w:t>
      </w:r>
      <w:r>
        <w:rPr>
          <w:color w:val="000000" w:themeColor="text1"/>
          <w:highlight w:val="none"/>
          <w14:textFill>
            <w14:solidFill>
              <w14:schemeClr w14:val="tx1"/>
            </w14:solidFill>
          </w14:textFill>
        </w:rPr>
        <w:t>结</w:t>
      </w:r>
      <w:r>
        <w:rPr>
          <w:color w:val="000000" w:themeColor="text1"/>
          <w:spacing w:val="-3"/>
          <w:highlight w:val="none"/>
          <w14:textFill>
            <w14:solidFill>
              <w14:schemeClr w14:val="tx1"/>
            </w14:solidFill>
          </w14:textFill>
        </w:rPr>
        <w:t>构</w:t>
      </w:r>
      <w:r>
        <w:rPr>
          <w:color w:val="000000" w:themeColor="text1"/>
          <w:highlight w:val="none"/>
          <w14:textFill>
            <w14:solidFill>
              <w14:schemeClr w14:val="tx1"/>
            </w14:solidFill>
          </w14:textFill>
        </w:rPr>
        <w:t>和</w:t>
      </w:r>
      <w:r>
        <w:rPr>
          <w:color w:val="000000" w:themeColor="text1"/>
          <w:spacing w:val="-3"/>
          <w:highlight w:val="none"/>
          <w14:textFill>
            <w14:solidFill>
              <w14:schemeClr w14:val="tx1"/>
            </w14:solidFill>
          </w14:textFill>
        </w:rPr>
        <w:t>精</w:t>
      </w:r>
      <w:r>
        <w:rPr>
          <w:color w:val="000000" w:themeColor="text1"/>
          <w:highlight w:val="none"/>
          <w14:textFill>
            <w14:solidFill>
              <w14:schemeClr w14:val="tx1"/>
            </w14:solidFill>
          </w14:textFill>
        </w:rPr>
        <w:t>神功能</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2</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9"/>
        </w:numPr>
        <w:tabs>
          <w:tab w:val="left" w:pos="867"/>
          <w:tab w:val="right" w:leader="dot" w:pos="9737"/>
        </w:tabs>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眼</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耳</w:t>
      </w:r>
      <w:r>
        <w:rPr>
          <w:color w:val="000000" w:themeColor="text1"/>
          <w:highlight w:val="none"/>
          <w14:textFill>
            <w14:solidFill>
              <w14:schemeClr w14:val="tx1"/>
            </w14:solidFill>
          </w14:textFill>
        </w:rPr>
        <w:t>和</w:t>
      </w:r>
      <w:r>
        <w:rPr>
          <w:color w:val="000000" w:themeColor="text1"/>
          <w:spacing w:val="-3"/>
          <w:highlight w:val="none"/>
          <w14:textFill>
            <w14:solidFill>
              <w14:schemeClr w14:val="tx1"/>
            </w14:solidFill>
          </w14:textFill>
        </w:rPr>
        <w:t>有</w:t>
      </w:r>
      <w:r>
        <w:rPr>
          <w:color w:val="000000" w:themeColor="text1"/>
          <w:highlight w:val="none"/>
          <w14:textFill>
            <w14:solidFill>
              <w14:schemeClr w14:val="tx1"/>
            </w14:solidFill>
          </w14:textFill>
        </w:rPr>
        <w:t>关</w:t>
      </w:r>
      <w:r>
        <w:rPr>
          <w:color w:val="000000" w:themeColor="text1"/>
          <w:spacing w:val="-3"/>
          <w:highlight w:val="none"/>
          <w14:textFill>
            <w14:solidFill>
              <w14:schemeClr w14:val="tx1"/>
            </w14:solidFill>
          </w14:textFill>
        </w:rPr>
        <w:t>的</w:t>
      </w:r>
      <w:r>
        <w:rPr>
          <w:color w:val="000000" w:themeColor="text1"/>
          <w:highlight w:val="none"/>
          <w14:textFill>
            <w14:solidFill>
              <w14:schemeClr w14:val="tx1"/>
            </w14:solidFill>
          </w14:textFill>
        </w:rPr>
        <w:t>结</w:t>
      </w:r>
      <w:r>
        <w:rPr>
          <w:color w:val="000000" w:themeColor="text1"/>
          <w:spacing w:val="-3"/>
          <w:highlight w:val="none"/>
          <w14:textFill>
            <w14:solidFill>
              <w14:schemeClr w14:val="tx1"/>
            </w14:solidFill>
          </w14:textFill>
        </w:rPr>
        <w:t>构</w:t>
      </w:r>
      <w:r>
        <w:rPr>
          <w:color w:val="000000" w:themeColor="text1"/>
          <w:highlight w:val="none"/>
          <w14:textFill>
            <w14:solidFill>
              <w14:schemeClr w14:val="tx1"/>
            </w14:solidFill>
          </w14:textFill>
        </w:rPr>
        <w:t>和功能</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3</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9"/>
        </w:numPr>
        <w:tabs>
          <w:tab w:val="left" w:pos="867"/>
          <w:tab w:val="right" w:leader="dot" w:pos="9737"/>
        </w:tabs>
        <w:spacing w:before="123"/>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发</w:t>
      </w:r>
      <w:r>
        <w:rPr>
          <w:color w:val="000000" w:themeColor="text1"/>
          <w:highlight w:val="none"/>
          <w14:textFill>
            <w14:solidFill>
              <w14:schemeClr w14:val="tx1"/>
            </w14:solidFill>
          </w14:textFill>
        </w:rPr>
        <w:t>声</w:t>
      </w:r>
      <w:r>
        <w:rPr>
          <w:color w:val="000000" w:themeColor="text1"/>
          <w:spacing w:val="-3"/>
          <w:highlight w:val="none"/>
          <w14:textFill>
            <w14:solidFill>
              <w14:schemeClr w14:val="tx1"/>
            </w14:solidFill>
          </w14:textFill>
        </w:rPr>
        <w:t>和</w:t>
      </w:r>
      <w:r>
        <w:rPr>
          <w:color w:val="000000" w:themeColor="text1"/>
          <w:highlight w:val="none"/>
          <w14:textFill>
            <w14:solidFill>
              <w14:schemeClr w14:val="tx1"/>
            </w14:solidFill>
          </w14:textFill>
        </w:rPr>
        <w:t>言</w:t>
      </w:r>
      <w:r>
        <w:rPr>
          <w:color w:val="000000" w:themeColor="text1"/>
          <w:spacing w:val="-3"/>
          <w:highlight w:val="none"/>
          <w14:textFill>
            <w14:solidFill>
              <w14:schemeClr w14:val="tx1"/>
            </w14:solidFill>
          </w14:textFill>
        </w:rPr>
        <w:t>语</w:t>
      </w:r>
      <w:r>
        <w:rPr>
          <w:color w:val="000000" w:themeColor="text1"/>
          <w:highlight w:val="none"/>
          <w14:textFill>
            <w14:solidFill>
              <w14:schemeClr w14:val="tx1"/>
            </w14:solidFill>
          </w14:textFill>
        </w:rPr>
        <w:t>的</w:t>
      </w:r>
      <w:r>
        <w:rPr>
          <w:color w:val="000000" w:themeColor="text1"/>
          <w:spacing w:val="-3"/>
          <w:highlight w:val="none"/>
          <w14:textFill>
            <w14:solidFill>
              <w14:schemeClr w14:val="tx1"/>
            </w14:solidFill>
          </w14:textFill>
        </w:rPr>
        <w:t>结</w:t>
      </w:r>
      <w:r>
        <w:rPr>
          <w:color w:val="000000" w:themeColor="text1"/>
          <w:highlight w:val="none"/>
          <w14:textFill>
            <w14:solidFill>
              <w14:schemeClr w14:val="tx1"/>
            </w14:solidFill>
          </w14:textFill>
        </w:rPr>
        <w:t>构</w:t>
      </w:r>
      <w:r>
        <w:rPr>
          <w:color w:val="000000" w:themeColor="text1"/>
          <w:spacing w:val="-3"/>
          <w:highlight w:val="none"/>
          <w14:textFill>
            <w14:solidFill>
              <w14:schemeClr w14:val="tx1"/>
            </w14:solidFill>
          </w14:textFill>
        </w:rPr>
        <w:t>和</w:t>
      </w:r>
      <w:r>
        <w:rPr>
          <w:color w:val="000000" w:themeColor="text1"/>
          <w:highlight w:val="none"/>
          <w14:textFill>
            <w14:solidFill>
              <w14:schemeClr w14:val="tx1"/>
            </w14:solidFill>
          </w14:textFill>
        </w:rPr>
        <w:t>功能</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5</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9"/>
        </w:numPr>
        <w:tabs>
          <w:tab w:val="left" w:pos="867"/>
          <w:tab w:val="right" w:leader="dot" w:pos="9737"/>
        </w:tabs>
        <w:spacing w:before="119"/>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心</w:t>
      </w:r>
      <w:r>
        <w:rPr>
          <w:color w:val="000000" w:themeColor="text1"/>
          <w:highlight w:val="none"/>
          <w14:textFill>
            <w14:solidFill>
              <w14:schemeClr w14:val="tx1"/>
            </w14:solidFill>
          </w14:textFill>
        </w:rPr>
        <w:t>血</w:t>
      </w:r>
      <w:r>
        <w:rPr>
          <w:color w:val="000000" w:themeColor="text1"/>
          <w:spacing w:val="-3"/>
          <w:highlight w:val="none"/>
          <w14:textFill>
            <w14:solidFill>
              <w14:schemeClr w14:val="tx1"/>
            </w14:solidFill>
          </w14:textFill>
        </w:rPr>
        <w:t>管</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免</w:t>
      </w:r>
      <w:r>
        <w:rPr>
          <w:color w:val="000000" w:themeColor="text1"/>
          <w:highlight w:val="none"/>
          <w14:textFill>
            <w14:solidFill>
              <w14:schemeClr w14:val="tx1"/>
            </w14:solidFill>
          </w14:textFill>
        </w:rPr>
        <w:t>疫</w:t>
      </w:r>
      <w:r>
        <w:rPr>
          <w:color w:val="000000" w:themeColor="text1"/>
          <w:spacing w:val="-3"/>
          <w:highlight w:val="none"/>
          <w14:textFill>
            <w14:solidFill>
              <w14:schemeClr w14:val="tx1"/>
            </w14:solidFill>
          </w14:textFill>
        </w:rPr>
        <w:t>和</w:t>
      </w:r>
      <w:r>
        <w:rPr>
          <w:color w:val="000000" w:themeColor="text1"/>
          <w:highlight w:val="none"/>
          <w14:textFill>
            <w14:solidFill>
              <w14:schemeClr w14:val="tx1"/>
            </w14:solidFill>
          </w14:textFill>
        </w:rPr>
        <w:t>呼</w:t>
      </w:r>
      <w:r>
        <w:rPr>
          <w:color w:val="000000" w:themeColor="text1"/>
          <w:spacing w:val="-3"/>
          <w:highlight w:val="none"/>
          <w14:textFill>
            <w14:solidFill>
              <w14:schemeClr w14:val="tx1"/>
            </w14:solidFill>
          </w14:textFill>
        </w:rPr>
        <w:t>吸</w:t>
      </w:r>
      <w:r>
        <w:rPr>
          <w:color w:val="000000" w:themeColor="text1"/>
          <w:highlight w:val="none"/>
          <w14:textFill>
            <w14:solidFill>
              <w14:schemeClr w14:val="tx1"/>
            </w14:solidFill>
          </w14:textFill>
        </w:rPr>
        <w:t>系统</w:t>
      </w:r>
      <w:r>
        <w:rPr>
          <w:color w:val="000000" w:themeColor="text1"/>
          <w:spacing w:val="-3"/>
          <w:highlight w:val="none"/>
          <w14:textFill>
            <w14:solidFill>
              <w14:schemeClr w14:val="tx1"/>
            </w14:solidFill>
          </w14:textFill>
        </w:rPr>
        <w:t>的</w:t>
      </w:r>
      <w:r>
        <w:rPr>
          <w:color w:val="000000" w:themeColor="text1"/>
          <w:highlight w:val="none"/>
          <w14:textFill>
            <w14:solidFill>
              <w14:schemeClr w14:val="tx1"/>
            </w14:solidFill>
          </w14:textFill>
        </w:rPr>
        <w:t>结</w:t>
      </w:r>
      <w:r>
        <w:rPr>
          <w:color w:val="000000" w:themeColor="text1"/>
          <w:spacing w:val="-3"/>
          <w:highlight w:val="none"/>
          <w14:textFill>
            <w14:solidFill>
              <w14:schemeClr w14:val="tx1"/>
            </w14:solidFill>
          </w14:textFill>
        </w:rPr>
        <w:t>构</w:t>
      </w:r>
      <w:r>
        <w:rPr>
          <w:color w:val="000000" w:themeColor="text1"/>
          <w:highlight w:val="none"/>
          <w14:textFill>
            <w14:solidFill>
              <w14:schemeClr w14:val="tx1"/>
            </w14:solidFill>
          </w14:textFill>
        </w:rPr>
        <w:t>和</w:t>
      </w:r>
      <w:r>
        <w:rPr>
          <w:color w:val="000000" w:themeColor="text1"/>
          <w:spacing w:val="-3"/>
          <w:highlight w:val="none"/>
          <w14:textFill>
            <w14:solidFill>
              <w14:schemeClr w14:val="tx1"/>
            </w14:solidFill>
          </w14:textFill>
        </w:rPr>
        <w:t>功</w:t>
      </w:r>
      <w:r>
        <w:rPr>
          <w:color w:val="000000" w:themeColor="text1"/>
          <w:highlight w:val="none"/>
          <w14:textFill>
            <w14:solidFill>
              <w14:schemeClr w14:val="tx1"/>
            </w14:solidFill>
          </w14:textFill>
        </w:rPr>
        <w:t>能</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5</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10"/>
        </w:numPr>
        <w:tabs>
          <w:tab w:val="left" w:pos="867"/>
          <w:tab w:val="right" w:leader="dot" w:pos="9737"/>
        </w:tabs>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泌</w:t>
      </w:r>
      <w:r>
        <w:rPr>
          <w:color w:val="000000" w:themeColor="text1"/>
          <w:highlight w:val="none"/>
          <w14:textFill>
            <w14:solidFill>
              <w14:schemeClr w14:val="tx1"/>
            </w14:solidFill>
          </w14:textFill>
        </w:rPr>
        <w:t>尿</w:t>
      </w:r>
      <w:r>
        <w:rPr>
          <w:color w:val="000000" w:themeColor="text1"/>
          <w:spacing w:val="-3"/>
          <w:highlight w:val="none"/>
          <w14:textFill>
            <w14:solidFill>
              <w14:schemeClr w14:val="tx1"/>
            </w14:solidFill>
          </w14:textFill>
        </w:rPr>
        <w:t>和</w:t>
      </w:r>
      <w:r>
        <w:rPr>
          <w:color w:val="000000" w:themeColor="text1"/>
          <w:highlight w:val="none"/>
          <w14:textFill>
            <w14:solidFill>
              <w14:schemeClr w14:val="tx1"/>
            </w14:solidFill>
          </w14:textFill>
        </w:rPr>
        <w:t>生</w:t>
      </w:r>
      <w:r>
        <w:rPr>
          <w:color w:val="000000" w:themeColor="text1"/>
          <w:spacing w:val="-3"/>
          <w:highlight w:val="none"/>
          <w14:textFill>
            <w14:solidFill>
              <w14:schemeClr w14:val="tx1"/>
            </w14:solidFill>
          </w14:textFill>
        </w:rPr>
        <w:t>殖</w:t>
      </w:r>
      <w:r>
        <w:rPr>
          <w:color w:val="000000" w:themeColor="text1"/>
          <w:highlight w:val="none"/>
          <w14:textFill>
            <w14:solidFill>
              <w14:schemeClr w14:val="tx1"/>
            </w14:solidFill>
          </w14:textFill>
        </w:rPr>
        <w:t>系</w:t>
      </w:r>
      <w:r>
        <w:rPr>
          <w:color w:val="000000" w:themeColor="text1"/>
          <w:spacing w:val="-3"/>
          <w:highlight w:val="none"/>
          <w14:textFill>
            <w14:solidFill>
              <w14:schemeClr w14:val="tx1"/>
            </w14:solidFill>
          </w14:textFill>
        </w:rPr>
        <w:t>统</w:t>
      </w:r>
      <w:r>
        <w:rPr>
          <w:color w:val="000000" w:themeColor="text1"/>
          <w:highlight w:val="none"/>
          <w14:textFill>
            <w14:solidFill>
              <w14:schemeClr w14:val="tx1"/>
            </w14:solidFill>
          </w14:textFill>
        </w:rPr>
        <w:t>有</w:t>
      </w:r>
      <w:r>
        <w:rPr>
          <w:color w:val="000000" w:themeColor="text1"/>
          <w:spacing w:val="-3"/>
          <w:highlight w:val="none"/>
          <w14:textFill>
            <w14:solidFill>
              <w14:schemeClr w14:val="tx1"/>
            </w14:solidFill>
          </w14:textFill>
        </w:rPr>
        <w:t>关</w:t>
      </w:r>
      <w:r>
        <w:rPr>
          <w:color w:val="000000" w:themeColor="text1"/>
          <w:highlight w:val="none"/>
          <w14:textFill>
            <w14:solidFill>
              <w14:schemeClr w14:val="tx1"/>
            </w14:solidFill>
          </w14:textFill>
        </w:rPr>
        <w:t>的结</w:t>
      </w:r>
      <w:r>
        <w:rPr>
          <w:color w:val="000000" w:themeColor="text1"/>
          <w:spacing w:val="-3"/>
          <w:highlight w:val="none"/>
          <w14:textFill>
            <w14:solidFill>
              <w14:schemeClr w14:val="tx1"/>
            </w14:solidFill>
          </w14:textFill>
        </w:rPr>
        <w:t>构</w:t>
      </w:r>
      <w:r>
        <w:rPr>
          <w:color w:val="000000" w:themeColor="text1"/>
          <w:highlight w:val="none"/>
          <w14:textFill>
            <w14:solidFill>
              <w14:schemeClr w14:val="tx1"/>
            </w14:solidFill>
          </w14:textFill>
        </w:rPr>
        <w:t>和</w:t>
      </w:r>
      <w:r>
        <w:rPr>
          <w:color w:val="000000" w:themeColor="text1"/>
          <w:spacing w:val="-3"/>
          <w:highlight w:val="none"/>
          <w14:textFill>
            <w14:solidFill>
              <w14:schemeClr w14:val="tx1"/>
            </w14:solidFill>
          </w14:textFill>
        </w:rPr>
        <w:t>功</w:t>
      </w:r>
      <w:r>
        <w:rPr>
          <w:color w:val="000000" w:themeColor="text1"/>
          <w:highlight w:val="none"/>
          <w14:textFill>
            <w14:solidFill>
              <w14:schemeClr w14:val="tx1"/>
            </w14:solidFill>
          </w14:textFill>
        </w:rPr>
        <w:t>能</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7</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10"/>
        </w:numPr>
        <w:tabs>
          <w:tab w:val="left" w:pos="867"/>
          <w:tab w:val="right" w:leader="dot" w:pos="9737"/>
        </w:tabs>
        <w:spacing w:before="12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"_bookmark16"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神</w:t>
      </w:r>
      <w:r>
        <w:rPr>
          <w:color w:val="000000" w:themeColor="text1"/>
          <w:highlight w:val="none"/>
          <w14:textFill>
            <w14:solidFill>
              <w14:schemeClr w14:val="tx1"/>
            </w14:solidFill>
          </w14:textFill>
        </w:rPr>
        <w:t>经</w:t>
      </w:r>
      <w:r>
        <w:rPr>
          <w:color w:val="000000" w:themeColor="text1"/>
          <w:spacing w:val="-3"/>
          <w:highlight w:val="none"/>
          <w14:textFill>
            <w14:solidFill>
              <w14:schemeClr w14:val="tx1"/>
            </w14:solidFill>
          </w14:textFill>
        </w:rPr>
        <w:t>肌</w:t>
      </w:r>
      <w:r>
        <w:rPr>
          <w:color w:val="000000" w:themeColor="text1"/>
          <w:highlight w:val="none"/>
          <w14:textFill>
            <w14:solidFill>
              <w14:schemeClr w14:val="tx1"/>
            </w14:solidFill>
          </w14:textFill>
        </w:rPr>
        <w:t>肉</w:t>
      </w:r>
      <w:r>
        <w:rPr>
          <w:color w:val="000000" w:themeColor="text1"/>
          <w:spacing w:val="-3"/>
          <w:highlight w:val="none"/>
          <w14:textFill>
            <w14:solidFill>
              <w14:schemeClr w14:val="tx1"/>
            </w14:solidFill>
          </w14:textFill>
        </w:rPr>
        <w:t>骨</w:t>
      </w:r>
      <w:r>
        <w:rPr>
          <w:color w:val="000000" w:themeColor="text1"/>
          <w:highlight w:val="none"/>
          <w14:textFill>
            <w14:solidFill>
              <w14:schemeClr w14:val="tx1"/>
            </w14:solidFill>
          </w14:textFill>
        </w:rPr>
        <w:t>骼</w:t>
      </w:r>
      <w:r>
        <w:rPr>
          <w:color w:val="000000" w:themeColor="text1"/>
          <w:spacing w:val="-3"/>
          <w:highlight w:val="none"/>
          <w14:textFill>
            <w14:solidFill>
              <w14:schemeClr w14:val="tx1"/>
            </w14:solidFill>
          </w14:textFill>
        </w:rPr>
        <w:t>和</w:t>
      </w:r>
      <w:r>
        <w:rPr>
          <w:color w:val="000000" w:themeColor="text1"/>
          <w:highlight w:val="none"/>
          <w14:textFill>
            <w14:solidFill>
              <w14:schemeClr w14:val="tx1"/>
            </w14:solidFill>
          </w14:textFill>
        </w:rPr>
        <w:t>运</w:t>
      </w:r>
      <w:r>
        <w:rPr>
          <w:color w:val="000000" w:themeColor="text1"/>
          <w:spacing w:val="-3"/>
          <w:highlight w:val="none"/>
          <w14:textFill>
            <w14:solidFill>
              <w14:schemeClr w14:val="tx1"/>
            </w14:solidFill>
          </w14:textFill>
        </w:rPr>
        <w:t>动</w:t>
      </w:r>
      <w:r>
        <w:rPr>
          <w:color w:val="000000" w:themeColor="text1"/>
          <w:highlight w:val="none"/>
          <w14:textFill>
            <w14:solidFill>
              <w14:schemeClr w14:val="tx1"/>
            </w14:solidFill>
          </w14:textFill>
        </w:rPr>
        <w:t>有关</w:t>
      </w:r>
      <w:r>
        <w:rPr>
          <w:color w:val="000000" w:themeColor="text1"/>
          <w:spacing w:val="-3"/>
          <w:highlight w:val="none"/>
          <w14:textFill>
            <w14:solidFill>
              <w14:schemeClr w14:val="tx1"/>
            </w14:solidFill>
          </w14:textFill>
        </w:rPr>
        <w:t>的</w:t>
      </w:r>
      <w:r>
        <w:rPr>
          <w:color w:val="000000" w:themeColor="text1"/>
          <w:highlight w:val="none"/>
          <w14:textFill>
            <w14:solidFill>
              <w14:schemeClr w14:val="tx1"/>
            </w14:solidFill>
          </w14:textFill>
        </w:rPr>
        <w:t>结</w:t>
      </w:r>
      <w:r>
        <w:rPr>
          <w:color w:val="000000" w:themeColor="text1"/>
          <w:spacing w:val="-3"/>
          <w:highlight w:val="none"/>
          <w14:textFill>
            <w14:solidFill>
              <w14:schemeClr w14:val="tx1"/>
            </w14:solidFill>
          </w14:textFill>
        </w:rPr>
        <w:t>构</w:t>
      </w:r>
      <w:r>
        <w:rPr>
          <w:color w:val="000000" w:themeColor="text1"/>
          <w:highlight w:val="none"/>
          <w14:textFill>
            <w14:solidFill>
              <w14:schemeClr w14:val="tx1"/>
            </w14:solidFill>
          </w14:textFill>
        </w:rPr>
        <w:t>和</w:t>
      </w:r>
      <w:r>
        <w:rPr>
          <w:color w:val="000000" w:themeColor="text1"/>
          <w:spacing w:val="-3"/>
          <w:highlight w:val="none"/>
          <w14:textFill>
            <w14:solidFill>
              <w14:schemeClr w14:val="tx1"/>
            </w14:solidFill>
          </w14:textFill>
        </w:rPr>
        <w:t>功</w:t>
      </w:r>
      <w:r>
        <w:rPr>
          <w:color w:val="000000" w:themeColor="text1"/>
          <w:highlight w:val="none"/>
          <w14:textFill>
            <w14:solidFill>
              <w14:schemeClr w14:val="tx1"/>
            </w14:solidFill>
          </w14:textFill>
        </w:rPr>
        <w:t>能</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8</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10"/>
        </w:numPr>
        <w:tabs>
          <w:tab w:val="left" w:pos="867"/>
          <w:tab w:val="right" w:leader="dot" w:pos="9737"/>
        </w:tabs>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"_bookmark17"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皮</w:t>
      </w:r>
      <w:r>
        <w:rPr>
          <w:color w:val="000000" w:themeColor="text1"/>
          <w:highlight w:val="none"/>
          <w14:textFill>
            <w14:solidFill>
              <w14:schemeClr w14:val="tx1"/>
            </w14:solidFill>
          </w14:textFill>
        </w:rPr>
        <w:t>肤</w:t>
      </w:r>
      <w:r>
        <w:rPr>
          <w:color w:val="000000" w:themeColor="text1"/>
          <w:spacing w:val="-3"/>
          <w:highlight w:val="none"/>
          <w14:textFill>
            <w14:solidFill>
              <w14:schemeClr w14:val="tx1"/>
            </w14:solidFill>
          </w14:textFill>
        </w:rPr>
        <w:t>和</w:t>
      </w:r>
      <w:r>
        <w:rPr>
          <w:color w:val="000000" w:themeColor="text1"/>
          <w:highlight w:val="none"/>
          <w14:textFill>
            <w14:solidFill>
              <w14:schemeClr w14:val="tx1"/>
            </w14:solidFill>
          </w14:textFill>
        </w:rPr>
        <w:t>有</w:t>
      </w:r>
      <w:r>
        <w:rPr>
          <w:color w:val="000000" w:themeColor="text1"/>
          <w:spacing w:val="-3"/>
          <w:highlight w:val="none"/>
          <w14:textFill>
            <w14:solidFill>
              <w14:schemeClr w14:val="tx1"/>
            </w14:solidFill>
          </w14:textFill>
        </w:rPr>
        <w:t>关</w:t>
      </w:r>
      <w:r>
        <w:rPr>
          <w:color w:val="000000" w:themeColor="text1"/>
          <w:highlight w:val="none"/>
          <w14:textFill>
            <w14:solidFill>
              <w14:schemeClr w14:val="tx1"/>
            </w14:solidFill>
          </w14:textFill>
        </w:rPr>
        <w:t>的</w:t>
      </w:r>
      <w:r>
        <w:rPr>
          <w:color w:val="000000" w:themeColor="text1"/>
          <w:spacing w:val="-3"/>
          <w:highlight w:val="none"/>
          <w14:textFill>
            <w14:solidFill>
              <w14:schemeClr w14:val="tx1"/>
            </w14:solidFill>
          </w14:textFill>
        </w:rPr>
        <w:t>结</w:t>
      </w:r>
      <w:r>
        <w:rPr>
          <w:color w:val="000000" w:themeColor="text1"/>
          <w:highlight w:val="none"/>
          <w14:textFill>
            <w14:solidFill>
              <w14:schemeClr w14:val="tx1"/>
            </w14:solidFill>
          </w14:textFill>
        </w:rPr>
        <w:t>构</w:t>
      </w:r>
      <w:r>
        <w:rPr>
          <w:color w:val="000000" w:themeColor="text1"/>
          <w:spacing w:val="-3"/>
          <w:highlight w:val="none"/>
          <w14:textFill>
            <w14:solidFill>
              <w14:schemeClr w14:val="tx1"/>
            </w14:solidFill>
          </w14:textFill>
        </w:rPr>
        <w:t>和</w:t>
      </w:r>
      <w:r>
        <w:rPr>
          <w:color w:val="000000" w:themeColor="text1"/>
          <w:highlight w:val="none"/>
          <w14:textFill>
            <w14:solidFill>
              <w14:schemeClr w14:val="tx1"/>
            </w14:solidFill>
          </w14:textFill>
        </w:rPr>
        <w:t>功能</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13</w:t>
      </w:r>
      <w:r>
        <w:rPr>
          <w:rFonts w:ascii="Times New Roman" w:eastAsia="Times New Roman"/>
          <w:color w:val="000000" w:themeColor="text1"/>
          <w:highlight w:val="none"/>
          <w14:textFill>
            <w14:solidFill>
              <w14:schemeClr w14:val="tx1"/>
            </w14:solidFill>
          </w14:textFill>
        </w:rPr>
        <w:fldChar w:fldCharType="end"/>
      </w:r>
    </w:p>
    <w:p>
      <w:pPr>
        <w:pStyle w:val="12"/>
        <w:tabs>
          <w:tab w:val="left" w:pos="918"/>
          <w:tab w:val="left" w:pos="1336"/>
          <w:tab w:val="right" w:leader="dot" w:pos="9737"/>
        </w:tabs>
        <w:spacing w:before="120"/>
        <w:ind w:left="496"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录</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A</w:t>
      </w:r>
      <w:r>
        <w:rPr>
          <w:rFonts w:ascii="Times New Roman" w:eastAsia="Times New Roman"/>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15</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11"/>
        </w:numPr>
        <w:tabs>
          <w:tab w:val="left" w:pos="1071"/>
          <w:tab w:val="right" w:leader="dot" w:pos="9737"/>
        </w:tabs>
        <w:ind w:left="1070" w:hanging="574"/>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"_bookmark19"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概述</w:t>
      </w:r>
      <w:r>
        <w:rPr>
          <w:color w:val="000000" w:themeColor="text1"/>
          <w:spacing w:val="-3"/>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15</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11"/>
        </w:numPr>
        <w:tabs>
          <w:tab w:val="left" w:pos="1071"/>
          <w:tab w:val="right" w:leader="dot" w:pos="9737"/>
        </w:tabs>
        <w:spacing w:before="43"/>
        <w:ind w:left="1070" w:hanging="574"/>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"_bookmark20"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字</w:t>
      </w:r>
      <w:r>
        <w:rPr>
          <w:color w:val="000000" w:themeColor="text1"/>
          <w:highlight w:val="none"/>
          <w14:textFill>
            <w14:solidFill>
              <w14:schemeClr w14:val="tx1"/>
            </w14:solidFill>
          </w14:textFill>
        </w:rPr>
        <w:t>母</w:t>
      </w:r>
      <w:r>
        <w:rPr>
          <w:color w:val="000000" w:themeColor="text1"/>
          <w:spacing w:val="-3"/>
          <w:highlight w:val="none"/>
          <w14:textFill>
            <w14:solidFill>
              <w14:schemeClr w14:val="tx1"/>
            </w14:solidFill>
          </w14:textFill>
        </w:rPr>
        <w:t>和</w:t>
      </w:r>
      <w:r>
        <w:rPr>
          <w:color w:val="000000" w:themeColor="text1"/>
          <w:highlight w:val="none"/>
          <w14:textFill>
            <w14:solidFill>
              <w14:schemeClr w14:val="tx1"/>
            </w14:solidFill>
          </w14:textFill>
        </w:rPr>
        <w:t>数</w:t>
      </w:r>
      <w:r>
        <w:rPr>
          <w:color w:val="000000" w:themeColor="text1"/>
          <w:spacing w:val="-3"/>
          <w:highlight w:val="none"/>
          <w14:textFill>
            <w14:solidFill>
              <w14:schemeClr w14:val="tx1"/>
            </w14:solidFill>
          </w14:textFill>
        </w:rPr>
        <w:t>字</w:t>
      </w:r>
      <w:r>
        <w:rPr>
          <w:color w:val="000000" w:themeColor="text1"/>
          <w:highlight w:val="none"/>
          <w14:textFill>
            <w14:solidFill>
              <w14:schemeClr w14:val="tx1"/>
            </w14:solidFill>
          </w14:textFill>
        </w:rPr>
        <w:t>的</w:t>
      </w:r>
      <w:r>
        <w:rPr>
          <w:color w:val="000000" w:themeColor="text1"/>
          <w:spacing w:val="-3"/>
          <w:highlight w:val="none"/>
          <w14:textFill>
            <w14:solidFill>
              <w14:schemeClr w14:val="tx1"/>
            </w14:solidFill>
          </w14:textFill>
        </w:rPr>
        <w:t>含</w:t>
      </w:r>
      <w:r>
        <w:rPr>
          <w:color w:val="000000" w:themeColor="text1"/>
          <w:highlight w:val="none"/>
          <w14:textFill>
            <w14:solidFill>
              <w14:schemeClr w14:val="tx1"/>
            </w14:solidFill>
          </w14:textFill>
        </w:rPr>
        <w:t>义</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15</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11"/>
        </w:numPr>
        <w:tabs>
          <w:tab w:val="left" w:pos="1071"/>
          <w:tab w:val="right" w:leader="dot" w:pos="9737"/>
        </w:tabs>
        <w:spacing w:before="44"/>
        <w:ind w:left="1070" w:hanging="574"/>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"_bookmark21"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分</w:t>
      </w:r>
      <w:r>
        <w:rPr>
          <w:color w:val="000000" w:themeColor="text1"/>
          <w:highlight w:val="none"/>
          <w14:textFill>
            <w14:solidFill>
              <w14:schemeClr w14:val="tx1"/>
            </w14:solidFill>
          </w14:textFill>
        </w:rPr>
        <w:t>类</w:t>
      </w:r>
      <w:r>
        <w:rPr>
          <w:color w:val="000000" w:themeColor="text1"/>
          <w:spacing w:val="-3"/>
          <w:highlight w:val="none"/>
          <w14:textFill>
            <w14:solidFill>
              <w14:schemeClr w14:val="tx1"/>
            </w14:solidFill>
          </w14:textFill>
        </w:rPr>
        <w:t>级</w:t>
      </w:r>
      <w:r>
        <w:rPr>
          <w:color w:val="000000" w:themeColor="text1"/>
          <w:highlight w:val="none"/>
          <w14:textFill>
            <w14:solidFill>
              <w14:schemeClr w14:val="tx1"/>
            </w14:solidFill>
          </w14:textFill>
        </w:rPr>
        <w:t>别</w:t>
      </w:r>
      <w:r>
        <w:rPr>
          <w:color w:val="000000" w:themeColor="text1"/>
          <w:spacing w:val="-3"/>
          <w:highlight w:val="none"/>
          <w14:textFill>
            <w14:solidFill>
              <w14:schemeClr w14:val="tx1"/>
            </w14:solidFill>
          </w14:textFill>
        </w:rPr>
        <w:t>的</w:t>
      </w:r>
      <w:r>
        <w:rPr>
          <w:color w:val="000000" w:themeColor="text1"/>
          <w:highlight w:val="none"/>
          <w14:textFill>
            <w14:solidFill>
              <w14:schemeClr w14:val="tx1"/>
            </w14:solidFill>
          </w14:textFill>
        </w:rPr>
        <w:t>含义</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15</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11"/>
        </w:numPr>
        <w:tabs>
          <w:tab w:val="left" w:pos="1071"/>
          <w:tab w:val="right" w:leader="dot" w:pos="9737"/>
        </w:tabs>
        <w:spacing w:before="43"/>
        <w:ind w:left="1070" w:hanging="574"/>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"_bookmark22"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编</w:t>
      </w:r>
      <w:r>
        <w:rPr>
          <w:color w:val="000000" w:themeColor="text1"/>
          <w:highlight w:val="none"/>
          <w14:textFill>
            <w14:solidFill>
              <w14:schemeClr w14:val="tx1"/>
            </w14:solidFill>
          </w14:textFill>
        </w:rPr>
        <w:t>码</w:t>
      </w:r>
      <w:r>
        <w:rPr>
          <w:color w:val="000000" w:themeColor="text1"/>
          <w:spacing w:val="-3"/>
          <w:highlight w:val="none"/>
          <w14:textFill>
            <w14:solidFill>
              <w14:schemeClr w14:val="tx1"/>
            </w14:solidFill>
          </w14:textFill>
        </w:rPr>
        <w:t>和</w:t>
      </w:r>
      <w:r>
        <w:rPr>
          <w:color w:val="000000" w:themeColor="text1"/>
          <w:highlight w:val="none"/>
          <w14:textFill>
            <w14:solidFill>
              <w14:schemeClr w14:val="tx1"/>
            </w14:solidFill>
          </w14:textFill>
        </w:rPr>
        <w:t>限</w:t>
      </w:r>
      <w:r>
        <w:rPr>
          <w:color w:val="000000" w:themeColor="text1"/>
          <w:spacing w:val="-3"/>
          <w:highlight w:val="none"/>
          <w14:textFill>
            <w14:solidFill>
              <w14:schemeClr w14:val="tx1"/>
            </w14:solidFill>
          </w14:textFill>
        </w:rPr>
        <w:t>定</w:t>
      </w:r>
      <w:r>
        <w:rPr>
          <w:color w:val="000000" w:themeColor="text1"/>
          <w:highlight w:val="none"/>
          <w14:textFill>
            <w14:solidFill>
              <w14:schemeClr w14:val="tx1"/>
            </w14:solidFill>
          </w14:textFill>
        </w:rPr>
        <w:t>值</w:t>
      </w:r>
      <w:r>
        <w:rPr>
          <w:color w:val="000000" w:themeColor="text1"/>
          <w:spacing w:val="-3"/>
          <w:highlight w:val="none"/>
          <w14:textFill>
            <w14:solidFill>
              <w14:schemeClr w14:val="tx1"/>
            </w14:solidFill>
          </w14:textFill>
        </w:rPr>
        <w:t>的含</w:t>
      </w:r>
      <w:r>
        <w:rPr>
          <w:color w:val="000000" w:themeColor="text1"/>
          <w:highlight w:val="none"/>
          <w14:textFill>
            <w14:solidFill>
              <w14:schemeClr w14:val="tx1"/>
            </w14:solidFill>
          </w14:textFill>
        </w:rPr>
        <w:t>义</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17</w:t>
      </w:r>
      <w:r>
        <w:rPr>
          <w:rFonts w:ascii="Times New Roman" w:eastAsia="Times New Roman"/>
          <w:color w:val="000000" w:themeColor="text1"/>
          <w:highlight w:val="none"/>
          <w14:textFill>
            <w14:solidFill>
              <w14:schemeClr w14:val="tx1"/>
            </w14:solidFill>
          </w14:textFill>
        </w:rPr>
        <w:fldChar w:fldCharType="end"/>
      </w:r>
    </w:p>
    <w:p>
      <w:pPr>
        <w:pStyle w:val="12"/>
        <w:numPr>
          <w:ilvl w:val="1"/>
          <w:numId w:val="11"/>
        </w:numPr>
        <w:tabs>
          <w:tab w:val="left" w:pos="1071"/>
          <w:tab w:val="right" w:leader="dot" w:pos="9737"/>
        </w:tabs>
        <w:spacing w:before="43"/>
        <w:ind w:left="1070" w:hanging="574"/>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"_bookmark23"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相</w:t>
      </w:r>
      <w:r>
        <w:rPr>
          <w:color w:val="000000" w:themeColor="text1"/>
          <w:highlight w:val="none"/>
          <w14:textFill>
            <w14:solidFill>
              <w14:schemeClr w14:val="tx1"/>
            </w14:solidFill>
          </w14:textFill>
        </w:rPr>
        <w:t>关</w:t>
      </w:r>
      <w:r>
        <w:rPr>
          <w:color w:val="000000" w:themeColor="text1"/>
          <w:spacing w:val="-3"/>
          <w:highlight w:val="none"/>
          <w14:textFill>
            <w14:solidFill>
              <w14:schemeClr w14:val="tx1"/>
            </w14:solidFill>
          </w14:textFill>
        </w:rPr>
        <w:t>关</w:t>
      </w:r>
      <w:r>
        <w:rPr>
          <w:color w:val="000000" w:themeColor="text1"/>
          <w:highlight w:val="none"/>
          <w14:textFill>
            <w14:solidFill>
              <w14:schemeClr w14:val="tx1"/>
            </w14:solidFill>
          </w14:textFill>
        </w:rPr>
        <w:t>系</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22</w:t>
      </w:r>
      <w:r>
        <w:rPr>
          <w:rFonts w:ascii="Times New Roman" w:eastAsia="Times New Roman"/>
          <w:color w:val="000000" w:themeColor="text1"/>
          <w:highlight w:val="none"/>
          <w14:textFill>
            <w14:solidFill>
              <w14:schemeClr w14:val="tx1"/>
            </w14:solidFill>
          </w14:textFill>
        </w:rPr>
        <w:fldChar w:fldCharType="end"/>
      </w:r>
    </w:p>
    <w:p>
      <w:pPr>
        <w:pStyle w:val="12"/>
        <w:tabs>
          <w:tab w:val="left" w:pos="918"/>
          <w:tab w:val="left" w:pos="1336"/>
          <w:tab w:val="right" w:leader="dot" w:pos="9737"/>
        </w:tabs>
        <w:spacing w:before="119"/>
        <w:ind w:left="496"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录</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B</w:t>
      </w:r>
      <w:r>
        <w:rPr>
          <w:rFonts w:ascii="Times New Roman" w:eastAsia="Times New Roman"/>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23</w:t>
      </w:r>
      <w:r>
        <w:rPr>
          <w:rFonts w:ascii="Times New Roman" w:eastAsia="Times New Roman"/>
          <w:color w:val="000000" w:themeColor="text1"/>
          <w:highlight w:val="none"/>
          <w14:textFill>
            <w14:solidFill>
              <w14:schemeClr w14:val="tx1"/>
            </w14:solidFill>
          </w14:textFill>
        </w:rPr>
        <w:fldChar w:fldCharType="end"/>
      </w:r>
    </w:p>
    <w:p>
      <w:pPr>
        <w:pStyle w:val="12"/>
        <w:tabs>
          <w:tab w:val="right" w:leader="dot" w:pos="9737"/>
        </w:tabs>
        <w:ind w:left="496" w:firstLine="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参考</w:t>
      </w:r>
      <w:r>
        <w:rPr>
          <w:color w:val="000000" w:themeColor="text1"/>
          <w:spacing w:val="-3"/>
          <w:highlight w:val="none"/>
          <w14:textFill>
            <w14:solidFill>
              <w14:schemeClr w14:val="tx1"/>
            </w14:solidFill>
          </w14:textFill>
        </w:rPr>
        <w:t>文</w:t>
      </w:r>
      <w:r>
        <w:rPr>
          <w:color w:val="000000" w:themeColor="text1"/>
          <w:highlight w:val="none"/>
          <w14:textFill>
            <w14:solidFill>
              <w14:schemeClr w14:val="tx1"/>
            </w14:solidFill>
          </w14:textFill>
        </w:rPr>
        <w:t>献</w:t>
      </w:r>
      <w:r>
        <w:rPr>
          <w:color w:val="000000" w:themeColor="text1"/>
          <w:highlight w:val="non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26</w:t>
      </w:r>
      <w:r>
        <w:rPr>
          <w:rFonts w:ascii="Times New Roman" w:eastAsia="Times New Roman"/>
          <w:color w:val="000000" w:themeColor="text1"/>
          <w:highlight w:val="none"/>
          <w14:textFill>
            <w14:solidFill>
              <w14:schemeClr w14:val="tx1"/>
            </w14:solidFill>
          </w14:textFill>
        </w:rPr>
        <w:fldChar w:fldCharType="end"/>
      </w:r>
    </w:p>
    <w:p>
      <w:pPr>
        <w:rPr>
          <w:rFonts w:eastAsia="Times New Roman"/>
          <w:color w:val="000000" w:themeColor="text1"/>
          <w:highlight w:val="none"/>
          <w14:textFill>
            <w14:solidFill>
              <w14:schemeClr w14:val="tx1"/>
            </w14:solidFill>
          </w14:textFill>
        </w:rPr>
        <w:sectPr>
          <w:headerReference r:id="rId3" w:type="default"/>
          <w:footerReference r:id="rId5" w:type="default"/>
          <w:headerReference r:id="rId4" w:type="even"/>
          <w:footerReference r:id="rId6" w:type="even"/>
          <w:pgSz w:w="11910" w:h="16840"/>
          <w:pgMar w:top="1660" w:right="700" w:bottom="1340" w:left="920" w:header="1441" w:footer="1140" w:gutter="0"/>
          <w:pgNumType w:start="1"/>
          <w:cols w:space="720" w:num="1"/>
        </w:sectPr>
      </w:pPr>
    </w:p>
    <w:p>
      <w:pPr>
        <w:pStyle w:val="8"/>
        <w:spacing w:before="7"/>
        <w:rPr>
          <w:rFonts w:ascii="Times New Roman"/>
          <w:color w:val="000000" w:themeColor="text1"/>
          <w:sz w:val="46"/>
          <w:highlight w:val="none"/>
          <w14:textFill>
            <w14:solidFill>
              <w14:schemeClr w14:val="tx1"/>
            </w14:solidFill>
          </w14:textFill>
        </w:rPr>
      </w:pPr>
    </w:p>
    <w:p>
      <w:pPr>
        <w:pStyle w:val="2"/>
        <w:numPr>
          <w:ilvl w:val="0"/>
          <w:numId w:val="0"/>
        </w:numPr>
        <w:tabs>
          <w:tab w:val="left" w:pos="1016"/>
        </w:tabs>
        <w:autoSpaceDE w:val="0"/>
        <w:autoSpaceDN w:val="0"/>
        <w:spacing w:before="233" w:after="0"/>
        <w:ind w:leftChars="0"/>
        <w:jc w:val="cente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bidi="zh-CN"/>
          <w14:textFill>
            <w14:solidFill>
              <w14:schemeClr w14:val="tx1"/>
            </w14:solidFill>
          </w14:textFill>
        </w:rPr>
        <w:t xml:space="preserve">第三部分  </w:t>
      </w:r>
      <w: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t>前</w:t>
      </w:r>
      <w: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tab/>
      </w:r>
      <w: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t>言</w:t>
      </w:r>
    </w:p>
    <w:p>
      <w:pPr>
        <w:pStyle w:val="8"/>
        <w:rPr>
          <w:rFonts w:ascii="黑体"/>
          <w:color w:val="000000" w:themeColor="text1"/>
          <w:sz w:val="32"/>
          <w:highlight w:val="none"/>
          <w14:textFill>
            <w14:solidFill>
              <w14:schemeClr w14:val="tx1"/>
            </w14:solidFill>
          </w14:textFill>
        </w:rPr>
      </w:pPr>
    </w:p>
    <w:p>
      <w:pPr>
        <w:pStyle w:val="8"/>
        <w:spacing w:before="279"/>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本标准按照GB/T 1.1-2009给出的规则起草。</w:t>
      </w:r>
    </w:p>
    <w:p>
      <w:pPr>
        <w:pStyle w:val="8"/>
        <w:spacing w:before="43" w:line="278" w:lineRule="auto"/>
        <w:ind w:left="633" w:right="3974"/>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本标准由全国金融标准化技术委员会保险分技术委员会提出。本标准由全国金融标准化技术委员会保险分技术委员会归口。本标准负责起草单位：中国保险行业协会。</w:t>
      </w:r>
    </w:p>
    <w:p>
      <w:pPr>
        <w:pStyle w:val="8"/>
        <w:spacing w:line="269" w:lineRule="exact"/>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本标准参与起草单位：中国法医学会。</w:t>
      </w:r>
    </w:p>
    <w:p>
      <w:pPr>
        <w:pStyle w:val="8"/>
        <w:spacing w:before="43" w:line="278" w:lineRule="auto"/>
        <w:ind w:left="212" w:right="603" w:firstLine="420"/>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本标准主要起草人：单鹏、方力、王勤、艾乐、卢志军、孙朋强、刘乃佳、李屹兰、李恒、李思明、</w:t>
      </w:r>
      <w:r>
        <w:rPr>
          <w:color w:val="000000" w:themeColor="text1"/>
          <w:spacing w:val="-7"/>
          <w:highlight w:val="none"/>
          <w14:textFill>
            <w14:solidFill>
              <w14:schemeClr w14:val="tx1"/>
            </w14:solidFill>
          </w14:textFill>
        </w:rPr>
        <w:t>张琳、杨新文、苗景龙、倪长江、胡婷华、胡琴丽、殷瑾、黄春芳、黄荫善、章瑛、董向兵、韩鸥。</w:t>
      </w:r>
    </w:p>
    <w:p>
      <w:pPr>
        <w:spacing w:line="278" w:lineRule="auto"/>
        <w:rPr>
          <w:color w:val="000000" w:themeColor="text1"/>
          <w:highlight w:val="none"/>
          <w14:textFill>
            <w14:solidFill>
              <w14:schemeClr w14:val="tx1"/>
            </w14:solidFill>
          </w14:textFill>
        </w:rPr>
        <w:sectPr>
          <w:pgSz w:w="11910" w:h="16840"/>
          <w:pgMar w:top="1660" w:right="700" w:bottom="1340" w:left="920" w:header="1441" w:footer="1140" w:gutter="0"/>
          <w:cols w:space="720" w:num="1"/>
        </w:sectPr>
      </w:pPr>
    </w:p>
    <w:p>
      <w:pPr>
        <w:pStyle w:val="8"/>
        <w:rPr>
          <w:color w:val="000000" w:themeColor="text1"/>
          <w:sz w:val="20"/>
          <w:highlight w:val="none"/>
          <w14:textFill>
            <w14:solidFill>
              <w14:schemeClr w14:val="tx1"/>
            </w14:solidFill>
          </w14:textFill>
        </w:rPr>
      </w:pPr>
    </w:p>
    <w:p>
      <w:pPr>
        <w:pStyle w:val="8"/>
        <w:rPr>
          <w:color w:val="000000" w:themeColor="text1"/>
          <w:sz w:val="20"/>
          <w:highlight w:val="none"/>
          <w14:textFill>
            <w14:solidFill>
              <w14:schemeClr w14:val="tx1"/>
            </w14:solidFill>
          </w14:textFill>
        </w:rPr>
      </w:pPr>
    </w:p>
    <w:p>
      <w:pPr>
        <w:pStyle w:val="8"/>
        <w:rPr>
          <w:color w:val="000000" w:themeColor="text1"/>
          <w:sz w:val="20"/>
          <w:highlight w:val="none"/>
          <w14:textFill>
            <w14:solidFill>
              <w14:schemeClr w14:val="tx1"/>
            </w14:solidFill>
          </w14:textFill>
        </w:rPr>
      </w:pPr>
    </w:p>
    <w:p>
      <w:pPr>
        <w:pStyle w:val="2"/>
        <w:numPr>
          <w:ilvl w:val="0"/>
          <w:numId w:val="0"/>
        </w:numPr>
        <w:tabs>
          <w:tab w:val="left" w:pos="1016"/>
        </w:tabs>
        <w:autoSpaceDE w:val="0"/>
        <w:autoSpaceDN w:val="0"/>
        <w:spacing w:before="233" w:after="0"/>
        <w:ind w:leftChars="0"/>
        <w:jc w:val="cente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bidi="zh-CN"/>
          <w14:textFill>
            <w14:solidFill>
              <w14:schemeClr w14:val="tx1"/>
            </w14:solidFill>
          </w14:textFill>
        </w:rPr>
        <w:t xml:space="preserve">第四部分  </w:t>
      </w:r>
      <w: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t>引</w:t>
      </w:r>
      <w: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tab/>
      </w:r>
      <w: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t>言</w:t>
      </w:r>
    </w:p>
    <w:p>
      <w:pPr>
        <w:pStyle w:val="8"/>
        <w:rPr>
          <w:rFonts w:ascii="黑体"/>
          <w:color w:val="000000" w:themeColor="text1"/>
          <w:sz w:val="32"/>
          <w:highlight w:val="none"/>
          <w14:textFill>
            <w14:solidFill>
              <w14:schemeClr w14:val="tx1"/>
            </w14:solidFill>
          </w14:textFill>
        </w:rPr>
      </w:pPr>
    </w:p>
    <w:p>
      <w:pPr>
        <w:pStyle w:val="8"/>
        <w:spacing w:before="281"/>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根据保险行业业务发展要求，制订本标准。</w:t>
      </w:r>
    </w:p>
    <w:p>
      <w:pPr>
        <w:pStyle w:val="8"/>
        <w:spacing w:before="43" w:line="278" w:lineRule="auto"/>
        <w:ind w:left="496" w:right="426"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本标准制定过程中参照世界卫生组织《国际功能、残疾和健康分类》（以下简称“ICF”）的理论与方法，建立新的残疾标准的理论架构、术语体系和分类方法。</w:t>
      </w:r>
    </w:p>
    <w:p>
      <w:pPr>
        <w:pStyle w:val="8"/>
        <w:spacing w:line="278" w:lineRule="auto"/>
        <w:ind w:left="496" w:right="426" w:firstLine="420"/>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本标准制定过程中参考了国内重要的伤残评定标准，如《劳动能力鉴定，职工工伤与职业病致残等</w:t>
      </w:r>
      <w:r>
        <w:rPr>
          <w:color w:val="000000" w:themeColor="text1"/>
          <w:spacing w:val="-12"/>
          <w:highlight w:val="none"/>
          <w14:textFill>
            <w14:solidFill>
              <w14:schemeClr w14:val="tx1"/>
            </w14:solidFill>
          </w14:textFill>
        </w:rPr>
        <w:t>级》、《道路交通事故受伤人员伤残评定》等，符合国内相关的残疾政策，同时参考了国际上其他国家</w:t>
      </w:r>
      <w:r>
        <w:rPr>
          <w:color w:val="000000" w:themeColor="text1"/>
          <w:spacing w:val="-6"/>
          <w:highlight w:val="none"/>
          <w14:textFill>
            <w14:solidFill>
              <w14:schemeClr w14:val="tx1"/>
            </w14:solidFill>
          </w14:textFill>
        </w:rPr>
        <w:t>地区的伤残分级原则和标准。</w:t>
      </w:r>
    </w:p>
    <w:p>
      <w:pPr>
        <w:pStyle w:val="8"/>
        <w:spacing w:line="278" w:lineRule="auto"/>
        <w:ind w:left="496" w:right="426" w:firstLine="420"/>
        <w:jc w:val="both"/>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本标准建立了保险行业人身保险伤残评定和保险金给付比例的基础，各保险公司应根据自身的业务</w:t>
      </w:r>
      <w:r>
        <w:rPr>
          <w:color w:val="000000" w:themeColor="text1"/>
          <w:spacing w:val="-5"/>
          <w:highlight w:val="none"/>
          <w14:textFill>
            <w14:solidFill>
              <w14:schemeClr w14:val="tx1"/>
            </w14:solidFill>
          </w14:textFill>
        </w:rPr>
        <w:t>特点，根据本标准的方法、内容和结构，开发保险产品，提供保险服务。</w:t>
      </w:r>
    </w:p>
    <w:p>
      <w:pPr>
        <w:spacing w:line="278" w:lineRule="auto"/>
        <w:rPr>
          <w:color w:val="000000" w:themeColor="text1"/>
          <w:highlight w:val="none"/>
          <w14:textFill>
            <w14:solidFill>
              <w14:schemeClr w14:val="tx1"/>
            </w14:solidFill>
          </w14:textFill>
        </w:rPr>
        <w:sectPr>
          <w:footerReference r:id="rId7" w:type="default"/>
          <w:pgSz w:w="11910" w:h="16840"/>
          <w:pgMar w:top="1660" w:right="700" w:bottom="1340" w:left="920" w:header="1441" w:footer="1140" w:gutter="0"/>
          <w:pgNumType w:start="3"/>
          <w:cols w:space="720" w:num="1"/>
        </w:sectPr>
      </w:pPr>
    </w:p>
    <w:p>
      <w:pPr>
        <w:pStyle w:val="8"/>
        <w:rPr>
          <w:rFonts w:ascii="Times New Roman"/>
          <w:color w:val="000000" w:themeColor="text1"/>
          <w:sz w:val="20"/>
          <w:highlight w:val="none"/>
          <w14:textFill>
            <w14:solidFill>
              <w14:schemeClr w14:val="tx1"/>
            </w14:solidFill>
          </w14:textFill>
        </w:rPr>
      </w:pPr>
    </w:p>
    <w:p>
      <w:pPr>
        <w:pStyle w:val="2"/>
        <w:numPr>
          <w:ilvl w:val="0"/>
          <w:numId w:val="0"/>
        </w:numPr>
        <w:autoSpaceDE w:val="0"/>
        <w:autoSpaceDN w:val="0"/>
        <w:spacing w:before="55" w:after="0"/>
        <w:ind w:left="2673" w:leftChars="0"/>
        <w:jc w:val="left"/>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bidi="zh-CN"/>
          <w14:textFill>
            <w14:solidFill>
              <w14:schemeClr w14:val="tx1"/>
            </w14:solidFill>
          </w14:textFill>
        </w:rPr>
        <w:t xml:space="preserve">第五部分  </w:t>
      </w:r>
      <w:r>
        <w:rPr>
          <w:rFonts w:ascii="黑体" w:hAnsi="黑体" w:eastAsia="黑体" w:cs="黑体"/>
          <w:b w:val="0"/>
          <w:bCs w:val="0"/>
          <w:color w:val="000000" w:themeColor="text1"/>
          <w:kern w:val="0"/>
          <w:sz w:val="32"/>
          <w:szCs w:val="32"/>
          <w:highlight w:val="none"/>
          <w:lang w:val="zh-CN" w:bidi="zh-CN"/>
          <w14:textFill>
            <w14:solidFill>
              <w14:schemeClr w14:val="tx1"/>
            </w14:solidFill>
          </w14:textFill>
        </w:rPr>
        <w:t>人身保险伤残评定标准及代码</w:t>
      </w:r>
    </w:p>
    <w:p>
      <w:pPr>
        <w:pStyle w:val="8"/>
        <w:spacing w:before="3"/>
        <w:rPr>
          <w:rFonts w:ascii="黑体"/>
          <w:color w:val="000000" w:themeColor="text1"/>
          <w:sz w:val="29"/>
          <w:highlight w:val="none"/>
          <w14:textFill>
            <w14:solidFill>
              <w14:schemeClr w14:val="tx1"/>
            </w14:solidFill>
          </w14:textFill>
        </w:rPr>
      </w:pPr>
    </w:p>
    <w:p>
      <w:pPr>
        <w:pStyle w:val="20"/>
        <w:numPr>
          <w:ilvl w:val="0"/>
          <w:numId w:val="12"/>
        </w:numPr>
        <w:tabs>
          <w:tab w:val="left" w:pos="810"/>
          <w:tab w:val="left" w:pos="811"/>
        </w:tabs>
        <w:autoSpaceDE w:val="0"/>
        <w:autoSpaceDN w:val="0"/>
        <w:spacing w:before="71" w:after="0"/>
        <w:ind w:hanging="314"/>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范围</w:t>
      </w:r>
    </w:p>
    <w:p>
      <w:pPr>
        <w:pStyle w:val="8"/>
        <w:spacing w:before="7"/>
        <w:rPr>
          <w:rFonts w:ascii="黑体"/>
          <w:color w:val="000000" w:themeColor="text1"/>
          <w:sz w:val="27"/>
          <w:highlight w:val="none"/>
          <w14:textFill>
            <w14:solidFill>
              <w14:schemeClr w14:val="tx1"/>
            </w14:solidFill>
          </w14:textFill>
        </w:rPr>
      </w:pPr>
    </w:p>
    <w:p>
      <w:pPr>
        <w:pStyle w:val="8"/>
        <w:spacing w:line="278" w:lineRule="auto"/>
        <w:ind w:left="496" w:right="330"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本标准规定了意外险产品或包括意外责任的保险产品中伤残程度的评定等级以及保险金给付比例 </w:t>
      </w:r>
      <w:r>
        <w:rPr>
          <w:color w:val="000000" w:themeColor="text1"/>
          <w:spacing w:val="-3"/>
          <w:highlight w:val="none"/>
          <w14:textFill>
            <w14:solidFill>
              <w14:schemeClr w14:val="tx1"/>
            </w14:solidFill>
          </w14:textFill>
        </w:rPr>
        <w:t xml:space="preserve">的原则和方法，用于评定由于意外伤害因素引起的伤残程度。本标准规定了功能和残疾的分类和分级， </w:t>
      </w:r>
      <w:r>
        <w:rPr>
          <w:color w:val="000000" w:themeColor="text1"/>
          <w:spacing w:val="-8"/>
          <w:highlight w:val="none"/>
          <w14:textFill>
            <w14:solidFill>
              <w14:schemeClr w14:val="tx1"/>
            </w14:solidFill>
          </w14:textFill>
        </w:rPr>
        <w:t>将人身保险伤残程度划分为一至十级，最重为第一级，最轻为第十级，与人身保险伤残程度等级相对应的保险金给付比例分为十档，伤残程度第一级对应的保险金给付比例为</w:t>
      </w:r>
      <w:r>
        <w:rPr>
          <w:rFonts w:ascii="Times New Roman" w:eastAsia="Times New Roman"/>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t>，伤残程度第十级对应的</w:t>
      </w:r>
      <w:r>
        <w:rPr>
          <w:color w:val="000000" w:themeColor="text1"/>
          <w:spacing w:val="-3"/>
          <w:highlight w:val="none"/>
          <w14:textFill>
            <w14:solidFill>
              <w14:schemeClr w14:val="tx1"/>
            </w14:solidFill>
          </w14:textFill>
        </w:rPr>
        <w:t>保险金给付比例为</w:t>
      </w:r>
      <w:r>
        <w:rPr>
          <w:rFonts w:ascii="Times New Roman" w:eastAsia="Times New Roman"/>
          <w:color w:val="000000" w:themeColor="text1"/>
          <w:highlight w:val="none"/>
          <w14:textFill>
            <w14:solidFill>
              <w14:schemeClr w14:val="tx1"/>
            </w14:solidFill>
          </w14:textFill>
        </w:rPr>
        <w:t>10%</w:t>
      </w:r>
      <w:r>
        <w:rPr>
          <w:color w:val="000000" w:themeColor="text1"/>
          <w:spacing w:val="-1"/>
          <w:highlight w:val="none"/>
          <w14:textFill>
            <w14:solidFill>
              <w14:schemeClr w14:val="tx1"/>
            </w14:solidFill>
          </w14:textFill>
        </w:rPr>
        <w:t>，每级相差</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w:t>
      </w:r>
    </w:p>
    <w:p>
      <w:pPr>
        <w:pStyle w:val="8"/>
        <w:spacing w:line="278" w:lineRule="auto"/>
        <w:ind w:left="496" w:right="404" w:firstLine="420"/>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本标准参照</w:t>
      </w:r>
      <w:r>
        <w:rPr>
          <w:rFonts w:ascii="Times New Roman" w:hAnsi="Times New Roman" w:eastAsia="Times New Roman"/>
          <w:color w:val="000000" w:themeColor="text1"/>
          <w:spacing w:val="-3"/>
          <w:highlight w:val="none"/>
          <w14:textFill>
            <w14:solidFill>
              <w14:schemeClr w14:val="tx1"/>
            </w14:solidFill>
          </w14:textFill>
        </w:rPr>
        <w:t>ICF</w:t>
      </w:r>
      <w:r>
        <w:rPr>
          <w:color w:val="000000" w:themeColor="text1"/>
          <w:spacing w:val="-5"/>
          <w:highlight w:val="none"/>
          <w14:textFill>
            <w14:solidFill>
              <w14:schemeClr w14:val="tx1"/>
            </w14:solidFill>
          </w14:textFill>
        </w:rPr>
        <w:t>有关功能和残疾的分类理论与方法，建立</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神经系统的结构和精神功能</w:t>
      </w:r>
      <w:r>
        <w:rPr>
          <w:rFonts w:ascii="Times New Roman" w:hAnsi="Times New Roman" w:eastAsia="Times New Roman"/>
          <w:color w:val="000000" w:themeColor="text1"/>
          <w:highlight w:val="none"/>
          <w14:textFill>
            <w14:solidFill>
              <w14:schemeClr w14:val="tx1"/>
            </w14:solidFill>
          </w14:textFill>
        </w:rPr>
        <w:t>”</w:t>
      </w:r>
      <w:r>
        <w:rPr>
          <w:color w:val="000000" w:themeColor="text1"/>
          <w:spacing w:val="-24"/>
          <w:highlight w:val="none"/>
          <w14:textFill>
            <w14:solidFill>
              <w14:schemeClr w14:val="tx1"/>
            </w14:solidFill>
          </w14:textFill>
        </w:rPr>
        <w:t>、</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spacing w:val="-8"/>
          <w:highlight w:val="none"/>
          <w14:textFill>
            <w14:solidFill>
              <w14:schemeClr w14:val="tx1"/>
            </w14:solidFill>
          </w14:textFill>
        </w:rPr>
        <w:t>眼，耳和</w:t>
      </w:r>
      <w:r>
        <w:rPr>
          <w:color w:val="000000" w:themeColor="text1"/>
          <w:spacing w:val="-5"/>
          <w:highlight w:val="none"/>
          <w14:textFill>
            <w14:solidFill>
              <w14:schemeClr w14:val="tx1"/>
            </w14:solidFill>
          </w14:textFill>
        </w:rPr>
        <w:t>有关的结构和功能</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发声和言语的结构和功能</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心血管，免疫和呼吸系统的结构和功能</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w:t>
      </w:r>
      <w:r>
        <w:rPr>
          <w:color w:val="000000" w:themeColor="text1"/>
          <w:spacing w:val="-2"/>
          <w:highlight w:val="none"/>
          <w14:textFill>
            <w14:solidFill>
              <w14:schemeClr w14:val="tx1"/>
            </w14:solidFill>
          </w14:textFill>
        </w:rPr>
        <w:t>消化、</w:t>
      </w:r>
      <w:r>
        <w:rPr>
          <w:color w:val="000000" w:themeColor="text1"/>
          <w:spacing w:val="-3"/>
          <w:highlight w:val="none"/>
          <w14:textFill>
            <w14:solidFill>
              <w14:schemeClr w14:val="tx1"/>
            </w14:solidFill>
          </w14:textFill>
        </w:rPr>
        <w:t>代谢和内分泌系统有关的结构和功能</w:t>
      </w:r>
      <w:r>
        <w:rPr>
          <w:rFonts w:ascii="Times New Roman" w:hAnsi="Times New Roman" w:eastAsia="Times New Roman"/>
          <w:color w:val="000000" w:themeColor="text1"/>
          <w:highlight w:val="none"/>
          <w14:textFill>
            <w14:solidFill>
              <w14:schemeClr w14:val="tx1"/>
            </w14:solidFill>
          </w14:textFill>
        </w:rPr>
        <w:t>”</w:t>
      </w:r>
      <w:r>
        <w:rPr>
          <w:color w:val="000000" w:themeColor="text1"/>
          <w:spacing w:val="-24"/>
          <w:highlight w:val="none"/>
          <w14:textFill>
            <w14:solidFill>
              <w14:schemeClr w14:val="tx1"/>
            </w14:solidFill>
          </w14:textFill>
        </w:rPr>
        <w:t>、</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泌尿和生殖系统有关的结构和功能</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spacing w:val="-24"/>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神经肌肉骨骼和运动有关的结构和功能</w:t>
      </w:r>
      <w:r>
        <w:rPr>
          <w:rFonts w:ascii="Times New Roman" w:hAns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和</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皮肤和有关的结构和功能</w:t>
      </w:r>
      <w:r>
        <w:rPr>
          <w:rFonts w:ascii="Times New Roman" w:hAnsi="Times New Roman" w:eastAsia="Times New Roman"/>
          <w:color w:val="000000" w:themeColor="text1"/>
          <w:highlight w:val="none"/>
          <w14:textFill>
            <w14:solidFill>
              <w14:schemeClr w14:val="tx1"/>
            </w14:solidFill>
          </w14:textFill>
        </w:rPr>
        <w:t>” 8</w:t>
      </w:r>
      <w:r>
        <w:rPr>
          <w:color w:val="000000" w:themeColor="text1"/>
          <w:spacing w:val="-3"/>
          <w:highlight w:val="none"/>
          <w14:textFill>
            <w14:solidFill>
              <w14:schemeClr w14:val="tx1"/>
            </w14:solidFill>
          </w14:textFill>
        </w:rPr>
        <w:t>大类，共</w:t>
      </w:r>
      <w:r>
        <w:rPr>
          <w:rFonts w:ascii="Times New Roman" w:hAnsi="Times New Roman" w:eastAsia="Times New Roman"/>
          <w:color w:val="000000" w:themeColor="text1"/>
          <w:highlight w:val="none"/>
          <w14:textFill>
            <w14:solidFill>
              <w14:schemeClr w14:val="tx1"/>
            </w14:solidFill>
          </w14:textFill>
        </w:rPr>
        <w:t>281</w:t>
      </w:r>
      <w:r>
        <w:rPr>
          <w:color w:val="000000" w:themeColor="text1"/>
          <w:spacing w:val="-3"/>
          <w:highlight w:val="none"/>
          <w14:textFill>
            <w14:solidFill>
              <w14:schemeClr w14:val="tx1"/>
            </w14:solidFill>
          </w14:textFill>
        </w:rPr>
        <w:t>项人身保险伤残条目。</w:t>
      </w:r>
    </w:p>
    <w:p>
      <w:pPr>
        <w:pStyle w:val="8"/>
        <w:spacing w:line="269" w:lineRule="exact"/>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附录</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详细说明了本标准的编码规则，附录</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对本标准中涉及的结构、功能代码进行了罗列。</w:t>
      </w:r>
    </w:p>
    <w:p>
      <w:pPr>
        <w:pStyle w:val="8"/>
        <w:spacing w:before="11"/>
        <w:rPr>
          <w:color w:val="000000" w:themeColor="text1"/>
          <w:sz w:val="27"/>
          <w:highlight w:val="none"/>
          <w14:textFill>
            <w14:solidFill>
              <w14:schemeClr w14:val="tx1"/>
            </w14:solidFill>
          </w14:textFill>
        </w:rPr>
      </w:pPr>
    </w:p>
    <w:p>
      <w:pPr>
        <w:pStyle w:val="20"/>
        <w:numPr>
          <w:ilvl w:val="0"/>
          <w:numId w:val="12"/>
        </w:numPr>
        <w:tabs>
          <w:tab w:val="left" w:pos="810"/>
          <w:tab w:val="left" w:pos="811"/>
        </w:tabs>
        <w:autoSpaceDE w:val="0"/>
        <w:autoSpaceDN w:val="0"/>
        <w:spacing w:after="0"/>
        <w:ind w:hanging="314"/>
        <w:jc w:val="left"/>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术语与定义</w:t>
      </w:r>
    </w:p>
    <w:p>
      <w:pPr>
        <w:pStyle w:val="8"/>
        <w:spacing w:before="7"/>
        <w:rPr>
          <w:rFonts w:ascii="黑体"/>
          <w:color w:val="000000" w:themeColor="text1"/>
          <w:sz w:val="27"/>
          <w:highlight w:val="none"/>
          <w14:textFill>
            <w14:solidFill>
              <w14:schemeClr w14:val="tx1"/>
            </w14:solidFill>
          </w14:textFill>
        </w:rPr>
      </w:pPr>
    </w:p>
    <w:p>
      <w:pPr>
        <w:pStyle w:val="8"/>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下列术语和定义适用于本文件。</w:t>
      </w:r>
    </w:p>
    <w:p>
      <w:pPr>
        <w:pStyle w:val="8"/>
        <w:spacing w:before="5"/>
        <w:rPr>
          <w:color w:val="000000" w:themeColor="text1"/>
          <w:sz w:val="16"/>
          <w:highlight w:val="none"/>
          <w14:textFill>
            <w14:solidFill>
              <w14:schemeClr w14:val="tx1"/>
            </w14:solidFill>
          </w14:textFill>
        </w:rPr>
      </w:pPr>
    </w:p>
    <w:p>
      <w:pPr>
        <w:pStyle w:val="20"/>
        <w:numPr>
          <w:ilvl w:val="1"/>
          <w:numId w:val="12"/>
        </w:numPr>
        <w:tabs>
          <w:tab w:val="left" w:pos="762"/>
        </w:tabs>
        <w:autoSpaceDE w:val="0"/>
        <w:autoSpaceDN w:val="0"/>
        <w:spacing w:before="1" w:after="0"/>
        <w:jc w:val="left"/>
        <w:rPr>
          <w:color w:val="000000" w:themeColor="text1"/>
          <w:highlight w:val="none"/>
          <w14:textFill>
            <w14:solidFill>
              <w14:schemeClr w14:val="tx1"/>
            </w14:solidFill>
          </w14:textFill>
        </w:rPr>
      </w:pPr>
    </w:p>
    <w:p>
      <w:pPr>
        <w:pStyle w:val="8"/>
        <w:spacing w:before="8"/>
        <w:rPr>
          <w:rFonts w:ascii="Times New Roman"/>
          <w:color w:val="000000" w:themeColor="text1"/>
          <w:sz w:val="18"/>
          <w:highlight w:val="none"/>
          <w14:textFill>
            <w14:solidFill>
              <w14:schemeClr w14:val="tx1"/>
            </w14:solidFill>
          </w14:textFill>
        </w:rPr>
      </w:pPr>
    </w:p>
    <w:p>
      <w:pPr>
        <w:pStyle w:val="8"/>
        <w:ind w:left="916"/>
        <w:rPr>
          <w:rFonts w:ascii="Times New Roman" w:eastAsia="Times New Roman"/>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 xml:space="preserve">伤残 </w:t>
      </w:r>
      <w:r>
        <w:rPr>
          <w:rFonts w:ascii="Times New Roman" w:eastAsia="Times New Roman"/>
          <w:color w:val="000000" w:themeColor="text1"/>
          <w:highlight w:val="none"/>
          <w14:textFill>
            <w14:solidFill>
              <w14:schemeClr w14:val="tx1"/>
            </w14:solidFill>
          </w14:textFill>
        </w:rPr>
        <w:t>disability</w:t>
      </w:r>
    </w:p>
    <w:p>
      <w:pPr>
        <w:pStyle w:val="8"/>
        <w:spacing w:before="3"/>
        <w:rPr>
          <w:rFonts w:ascii="Times New Roman"/>
          <w:color w:val="000000" w:themeColor="text1"/>
          <w:sz w:val="17"/>
          <w:highlight w:val="none"/>
          <w14:textFill>
            <w14:solidFill>
              <w14:schemeClr w14:val="tx1"/>
            </w14:solidFill>
          </w14:textFill>
        </w:rPr>
      </w:pPr>
    </w:p>
    <w:p>
      <w:pPr>
        <w:pStyle w:val="8"/>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因意外伤害损伤所致的人体残疾。</w:t>
      </w:r>
    </w:p>
    <w:p>
      <w:pPr>
        <w:pStyle w:val="8"/>
        <w:spacing w:before="6"/>
        <w:rPr>
          <w:color w:val="000000" w:themeColor="text1"/>
          <w:sz w:val="16"/>
          <w:highlight w:val="none"/>
          <w14:textFill>
            <w14:solidFill>
              <w14:schemeClr w14:val="tx1"/>
            </w14:solidFill>
          </w14:textFill>
        </w:rPr>
      </w:pPr>
    </w:p>
    <w:p>
      <w:pPr>
        <w:pStyle w:val="8"/>
        <w:ind w:left="496"/>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2.2</w:t>
      </w:r>
    </w:p>
    <w:p>
      <w:pPr>
        <w:pStyle w:val="8"/>
        <w:spacing w:before="8"/>
        <w:rPr>
          <w:rFonts w:ascii="Times New Roman"/>
          <w:color w:val="000000" w:themeColor="text1"/>
          <w:sz w:val="18"/>
          <w:highlight w:val="none"/>
          <w14:textFill>
            <w14:solidFill>
              <w14:schemeClr w14:val="tx1"/>
            </w14:solidFill>
          </w14:textFill>
        </w:rPr>
      </w:pPr>
    </w:p>
    <w:p>
      <w:pPr>
        <w:pStyle w:val="8"/>
        <w:ind w:left="916"/>
        <w:rPr>
          <w:rFonts w:ascii="Times New Roman" w:eastAsia="Times New Roman"/>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 xml:space="preserve">身体结构 </w:t>
      </w:r>
      <w:r>
        <w:rPr>
          <w:rFonts w:ascii="Times New Roman" w:eastAsia="Times New Roman"/>
          <w:color w:val="000000" w:themeColor="text1"/>
          <w:highlight w:val="none"/>
          <w14:textFill>
            <w14:solidFill>
              <w14:schemeClr w14:val="tx1"/>
            </w14:solidFill>
          </w14:textFill>
        </w:rPr>
        <w:t>body structure</w:t>
      </w:r>
    </w:p>
    <w:p>
      <w:pPr>
        <w:pStyle w:val="8"/>
        <w:spacing w:before="3"/>
        <w:rPr>
          <w:rFonts w:ascii="Times New Roman"/>
          <w:color w:val="000000" w:themeColor="text1"/>
          <w:sz w:val="17"/>
          <w:highlight w:val="none"/>
          <w14:textFill>
            <w14:solidFill>
              <w14:schemeClr w14:val="tx1"/>
            </w14:solidFill>
          </w14:textFill>
        </w:rPr>
      </w:pPr>
    </w:p>
    <w:p>
      <w:pPr>
        <w:pStyle w:val="8"/>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身体的解剖部位，如器官、肢体及其组成部分。</w:t>
      </w:r>
    </w:p>
    <w:p>
      <w:pPr>
        <w:pStyle w:val="8"/>
        <w:spacing w:before="6"/>
        <w:rPr>
          <w:color w:val="000000" w:themeColor="text1"/>
          <w:sz w:val="16"/>
          <w:highlight w:val="none"/>
          <w14:textFill>
            <w14:solidFill>
              <w14:schemeClr w14:val="tx1"/>
            </w14:solidFill>
          </w14:textFill>
        </w:rPr>
      </w:pPr>
    </w:p>
    <w:p>
      <w:pPr>
        <w:pStyle w:val="8"/>
        <w:ind w:left="496"/>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2.3</w:t>
      </w:r>
    </w:p>
    <w:p>
      <w:pPr>
        <w:pStyle w:val="8"/>
        <w:spacing w:before="8"/>
        <w:rPr>
          <w:rFonts w:ascii="Times New Roman"/>
          <w:color w:val="000000" w:themeColor="text1"/>
          <w:sz w:val="18"/>
          <w:highlight w:val="none"/>
          <w14:textFill>
            <w14:solidFill>
              <w14:schemeClr w14:val="tx1"/>
            </w14:solidFill>
          </w14:textFill>
        </w:rPr>
      </w:pPr>
    </w:p>
    <w:p>
      <w:pPr>
        <w:pStyle w:val="8"/>
        <w:ind w:left="916"/>
        <w:rPr>
          <w:rFonts w:ascii="Times New Roman" w:eastAsia="Times New Roman"/>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 xml:space="preserve">身体功能 </w:t>
      </w:r>
      <w:r>
        <w:rPr>
          <w:rFonts w:ascii="Times New Roman" w:eastAsia="Times New Roman"/>
          <w:color w:val="000000" w:themeColor="text1"/>
          <w:highlight w:val="none"/>
          <w14:textFill>
            <w14:solidFill>
              <w14:schemeClr w14:val="tx1"/>
            </w14:solidFill>
          </w14:textFill>
        </w:rPr>
        <w:t>body function</w:t>
      </w:r>
    </w:p>
    <w:p>
      <w:pPr>
        <w:pStyle w:val="8"/>
        <w:spacing w:before="4"/>
        <w:rPr>
          <w:rFonts w:ascii="Times New Roman"/>
          <w:color w:val="000000" w:themeColor="text1"/>
          <w:sz w:val="17"/>
          <w:highlight w:val="none"/>
          <w14:textFill>
            <w14:solidFill>
              <w14:schemeClr w14:val="tx1"/>
            </w14:solidFill>
          </w14:textFill>
        </w:rPr>
      </w:pPr>
    </w:p>
    <w:p>
      <w:pPr>
        <w:pStyle w:val="8"/>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身体各系统的生理功能。</w:t>
      </w:r>
    </w:p>
    <w:p>
      <w:pPr>
        <w:pStyle w:val="8"/>
        <w:spacing w:before="11"/>
        <w:rPr>
          <w:color w:val="000000" w:themeColor="text1"/>
          <w:sz w:val="27"/>
          <w:highlight w:val="none"/>
          <w14:textFill>
            <w14:solidFill>
              <w14:schemeClr w14:val="tx1"/>
            </w14:solidFill>
          </w14:textFill>
        </w:rPr>
      </w:pPr>
    </w:p>
    <w:p>
      <w:pPr>
        <w:pStyle w:val="20"/>
        <w:numPr>
          <w:ilvl w:val="0"/>
          <w:numId w:val="12"/>
        </w:numPr>
        <w:tabs>
          <w:tab w:val="left" w:pos="810"/>
          <w:tab w:val="left" w:pos="811"/>
        </w:tabs>
        <w:autoSpaceDE w:val="0"/>
        <w:autoSpaceDN w:val="0"/>
        <w:spacing w:after="0"/>
        <w:ind w:hanging="314"/>
        <w:jc w:val="left"/>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伤残的评定</w:t>
      </w:r>
    </w:p>
    <w:p>
      <w:pPr>
        <w:pStyle w:val="8"/>
        <w:spacing w:before="7"/>
        <w:rPr>
          <w:rFonts w:ascii="黑体"/>
          <w:color w:val="000000" w:themeColor="text1"/>
          <w:sz w:val="27"/>
          <w:highlight w:val="none"/>
          <w14:textFill>
            <w14:solidFill>
              <w14:schemeClr w14:val="tx1"/>
            </w14:solidFill>
          </w14:textFill>
        </w:rPr>
      </w:pPr>
    </w:p>
    <w:p>
      <w:pPr>
        <w:pStyle w:val="20"/>
        <w:numPr>
          <w:ilvl w:val="1"/>
          <w:numId w:val="12"/>
        </w:numPr>
        <w:tabs>
          <w:tab w:val="left" w:pos="867"/>
        </w:tabs>
        <w:autoSpaceDE w:val="0"/>
        <w:autoSpaceDN w:val="0"/>
        <w:spacing w:after="0"/>
        <w:ind w:left="866" w:hanging="37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确定伤残类别</w:t>
      </w:r>
    </w:p>
    <w:p>
      <w:pPr>
        <w:pStyle w:val="8"/>
        <w:spacing w:before="6"/>
        <w:rPr>
          <w:rFonts w:ascii="黑体"/>
          <w:color w:val="000000" w:themeColor="text1"/>
          <w:sz w:val="15"/>
          <w:highlight w:val="none"/>
          <w14:textFill>
            <w14:solidFill>
              <w14:schemeClr w14:val="tx1"/>
            </w14:solidFill>
          </w14:textFill>
        </w:rPr>
      </w:pPr>
    </w:p>
    <w:p>
      <w:pPr>
        <w:pStyle w:val="8"/>
        <w:spacing w:before="1"/>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评定伤残时，应根据人体的身体结构与功能损伤情况确定所涉及的伤残类别。</w:t>
      </w:r>
    </w:p>
    <w:p>
      <w:pPr>
        <w:pStyle w:val="8"/>
        <w:spacing w:before="6"/>
        <w:rPr>
          <w:color w:val="000000" w:themeColor="text1"/>
          <w:sz w:val="15"/>
          <w:highlight w:val="none"/>
          <w14:textFill>
            <w14:solidFill>
              <w14:schemeClr w14:val="tx1"/>
            </w14:solidFill>
          </w14:textFill>
        </w:rPr>
      </w:pPr>
    </w:p>
    <w:p>
      <w:pPr>
        <w:pStyle w:val="20"/>
        <w:numPr>
          <w:ilvl w:val="1"/>
          <w:numId w:val="12"/>
        </w:numPr>
        <w:tabs>
          <w:tab w:val="left" w:pos="867"/>
        </w:tabs>
        <w:autoSpaceDE w:val="0"/>
        <w:autoSpaceDN w:val="0"/>
        <w:spacing w:after="0"/>
        <w:ind w:left="866" w:hanging="37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确定伤残等级</w:t>
      </w:r>
    </w:p>
    <w:p>
      <w:pPr>
        <w:pStyle w:val="8"/>
        <w:spacing w:before="7"/>
        <w:rPr>
          <w:rFonts w:ascii="黑体"/>
          <w:color w:val="000000" w:themeColor="text1"/>
          <w:sz w:val="15"/>
          <w:highlight w:val="none"/>
          <w14:textFill>
            <w14:solidFill>
              <w14:schemeClr w14:val="tx1"/>
            </w14:solidFill>
          </w14:textFill>
        </w:rPr>
      </w:pPr>
    </w:p>
    <w:p>
      <w:pPr>
        <w:pStyle w:val="8"/>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应根据伤残情况，在同类别伤残下，确定伤残等级。</w:t>
      </w:r>
    </w:p>
    <w:p>
      <w:pPr>
        <w:rPr>
          <w:color w:val="000000" w:themeColor="text1"/>
          <w:highlight w:val="none"/>
          <w14:textFill>
            <w14:solidFill>
              <w14:schemeClr w14:val="tx1"/>
            </w14:solidFill>
          </w14:textFill>
        </w:rPr>
        <w:sectPr>
          <w:headerReference r:id="rId8" w:type="default"/>
          <w:footerReference r:id="rId10" w:type="default"/>
          <w:headerReference r:id="rId9" w:type="even"/>
          <w:footerReference r:id="rId11" w:type="even"/>
          <w:pgSz w:w="11910" w:h="16840"/>
          <w:pgMar w:top="1660" w:right="700" w:bottom="1340" w:left="920" w:header="1441" w:footer="1140" w:gutter="0"/>
          <w:pgNumType w:start="1"/>
          <w:cols w:space="720" w:num="1"/>
        </w:sectPr>
      </w:pPr>
    </w:p>
    <w:p>
      <w:pPr>
        <w:pStyle w:val="8"/>
        <w:rPr>
          <w:color w:val="000000" w:themeColor="text1"/>
          <w:sz w:val="14"/>
          <w:highlight w:val="none"/>
          <w14:textFill>
            <w14:solidFill>
              <w14:schemeClr w14:val="tx1"/>
            </w14:solidFill>
          </w14:textFill>
        </w:rPr>
      </w:pPr>
    </w:p>
    <w:p>
      <w:pPr>
        <w:pStyle w:val="20"/>
        <w:numPr>
          <w:ilvl w:val="1"/>
          <w:numId w:val="12"/>
        </w:numPr>
        <w:tabs>
          <w:tab w:val="left" w:pos="583"/>
        </w:tabs>
        <w:autoSpaceDE w:val="0"/>
        <w:autoSpaceDN w:val="0"/>
        <w:spacing w:before="79" w:after="0"/>
        <w:ind w:left="582" w:hanging="37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确定保险金给付比例</w:t>
      </w:r>
    </w:p>
    <w:p>
      <w:pPr>
        <w:pStyle w:val="8"/>
        <w:spacing w:before="6"/>
        <w:rPr>
          <w:rFonts w:ascii="黑体"/>
          <w:color w:val="000000" w:themeColor="text1"/>
          <w:sz w:val="15"/>
          <w:highlight w:val="none"/>
          <w14:textFill>
            <w14:solidFill>
              <w14:schemeClr w14:val="tx1"/>
            </w14:solidFill>
          </w14:textFill>
        </w:rPr>
      </w:pPr>
    </w:p>
    <w:p>
      <w:pPr>
        <w:pStyle w:val="8"/>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应根据伤残等级对应的百分比，确定保险金给付比例。</w:t>
      </w:r>
    </w:p>
    <w:p>
      <w:pPr>
        <w:pStyle w:val="8"/>
        <w:spacing w:before="7"/>
        <w:rPr>
          <w:color w:val="000000" w:themeColor="text1"/>
          <w:sz w:val="15"/>
          <w:highlight w:val="none"/>
          <w14:textFill>
            <w14:solidFill>
              <w14:schemeClr w14:val="tx1"/>
            </w14:solidFill>
          </w14:textFill>
        </w:rPr>
      </w:pPr>
    </w:p>
    <w:p>
      <w:pPr>
        <w:pStyle w:val="20"/>
        <w:numPr>
          <w:ilvl w:val="1"/>
          <w:numId w:val="12"/>
        </w:numPr>
        <w:tabs>
          <w:tab w:val="left" w:pos="583"/>
        </w:tabs>
        <w:autoSpaceDE w:val="0"/>
        <w:autoSpaceDN w:val="0"/>
        <w:spacing w:after="0"/>
        <w:ind w:left="582" w:hanging="37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多处伤残的评定原则</w:t>
      </w:r>
    </w:p>
    <w:p>
      <w:pPr>
        <w:pStyle w:val="8"/>
        <w:spacing w:before="7"/>
        <w:rPr>
          <w:rFonts w:ascii="黑体"/>
          <w:color w:val="000000" w:themeColor="text1"/>
          <w:sz w:val="15"/>
          <w:highlight w:val="none"/>
          <w14:textFill>
            <w14:solidFill>
              <w14:schemeClr w14:val="tx1"/>
            </w14:solidFill>
          </w14:textFill>
        </w:rPr>
      </w:pPr>
    </w:p>
    <w:p>
      <w:pPr>
        <w:pStyle w:val="8"/>
        <w:spacing w:line="278" w:lineRule="auto"/>
        <w:ind w:left="212" w:right="709" w:firstLine="420"/>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当同一保险事故造成两处或两处以上伤残时，应首先对各处伤残程度分别进行评定，如果几处伤残</w:t>
      </w:r>
      <w:r>
        <w:rPr>
          <w:color w:val="000000" w:themeColor="text1"/>
          <w:spacing w:val="-11"/>
          <w:highlight w:val="none"/>
          <w14:textFill>
            <w14:solidFill>
              <w14:schemeClr w14:val="tx1"/>
            </w14:solidFill>
          </w14:textFill>
        </w:rPr>
        <w:t>等级不同，以最重的伤残等级作为最终的评定结论；如果两处或两处以上伤残等级相同，伤残等级在原</w:t>
      </w:r>
      <w:r>
        <w:rPr>
          <w:color w:val="000000" w:themeColor="text1"/>
          <w:spacing w:val="-12"/>
          <w:highlight w:val="none"/>
          <w14:textFill>
            <w14:solidFill>
              <w14:schemeClr w14:val="tx1"/>
            </w14:solidFill>
          </w14:textFill>
        </w:rPr>
        <w:t>评定基础上最多晋升一级，最高晋升至第一级。同一部位和性质的伤残，不应采用本标准条文两条以上</w:t>
      </w:r>
      <w:r>
        <w:rPr>
          <w:color w:val="000000" w:themeColor="text1"/>
          <w:spacing w:val="-6"/>
          <w:highlight w:val="none"/>
          <w14:textFill>
            <w14:solidFill>
              <w14:schemeClr w14:val="tx1"/>
            </w14:solidFill>
          </w14:textFill>
        </w:rPr>
        <w:t>或者同一条文两次以上进行评定。</w:t>
      </w:r>
    </w:p>
    <w:p>
      <w:pPr>
        <w:spacing w:before="15"/>
        <w:ind w:left="57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注：本标准中“以上”均包括本数值或本部位，下同。</w:t>
      </w:r>
    </w:p>
    <w:p>
      <w:pPr>
        <w:pStyle w:val="8"/>
        <w:rPr>
          <w:color w:val="000000" w:themeColor="text1"/>
          <w:sz w:val="18"/>
          <w:highlight w:val="none"/>
          <w14:textFill>
            <w14:solidFill>
              <w14:schemeClr w14:val="tx1"/>
            </w14:solidFill>
          </w14:textFill>
        </w:rPr>
      </w:pPr>
    </w:p>
    <w:p>
      <w:pPr>
        <w:pStyle w:val="20"/>
        <w:numPr>
          <w:ilvl w:val="0"/>
          <w:numId w:val="12"/>
        </w:numPr>
        <w:tabs>
          <w:tab w:val="left" w:pos="527"/>
          <w:tab w:val="left" w:pos="528"/>
        </w:tabs>
        <w:autoSpaceDE w:val="0"/>
        <w:autoSpaceDN w:val="0"/>
        <w:spacing w:before="150" w:after="0"/>
        <w:ind w:left="527"/>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伤残内容、等级及代码</w:t>
      </w:r>
    </w:p>
    <w:p>
      <w:pPr>
        <w:pStyle w:val="8"/>
        <w:spacing w:before="7"/>
        <w:rPr>
          <w:rFonts w:ascii="黑体"/>
          <w:color w:val="000000" w:themeColor="text1"/>
          <w:sz w:val="27"/>
          <w:highlight w:val="none"/>
          <w14:textFill>
            <w14:solidFill>
              <w14:schemeClr w14:val="tx1"/>
            </w14:solidFill>
          </w14:textFill>
        </w:rPr>
      </w:pPr>
    </w:p>
    <w:p>
      <w:pPr>
        <w:pStyle w:val="20"/>
        <w:numPr>
          <w:ilvl w:val="1"/>
          <w:numId w:val="12"/>
        </w:numPr>
        <w:tabs>
          <w:tab w:val="left" w:pos="583"/>
        </w:tabs>
        <w:autoSpaceDE w:val="0"/>
        <w:autoSpaceDN w:val="0"/>
        <w:spacing w:after="0"/>
        <w:ind w:left="582" w:hanging="37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神经系统的结构和精神功能</w:t>
      </w:r>
    </w:p>
    <w:p>
      <w:pPr>
        <w:pStyle w:val="8"/>
        <w:spacing w:before="6"/>
        <w:rPr>
          <w:rFonts w:ascii="黑体"/>
          <w:color w:val="000000" w:themeColor="text1"/>
          <w:sz w:val="15"/>
          <w:highlight w:val="none"/>
          <w14:textFill>
            <w14:solidFill>
              <w14:schemeClr w14:val="tx1"/>
            </w14:solidFill>
          </w14:textFill>
        </w:rPr>
      </w:pPr>
    </w:p>
    <w:p>
      <w:pPr>
        <w:pStyle w:val="20"/>
        <w:numPr>
          <w:ilvl w:val="2"/>
          <w:numId w:val="12"/>
        </w:numPr>
        <w:tabs>
          <w:tab w:val="left" w:pos="742"/>
        </w:tabs>
        <w:autoSpaceDE w:val="0"/>
        <w:autoSpaceDN w:val="0"/>
        <w:spacing w:before="1" w:after="0"/>
        <w:ind w:hanging="526"/>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脑膜的结构损伤</w:t>
      </w:r>
    </w:p>
    <w:p>
      <w:pPr>
        <w:pStyle w:val="8"/>
        <w:spacing w:before="6"/>
        <w:rPr>
          <w:rFonts w:ascii="黑体"/>
          <w:color w:val="000000" w:themeColor="text1"/>
          <w:sz w:val="15"/>
          <w:highlight w:val="none"/>
          <w14:textFill>
            <w14:solidFill>
              <w14:schemeClr w14:val="tx1"/>
            </w14:solidFill>
          </w14:textFill>
        </w:rPr>
      </w:pPr>
    </w:p>
    <w:p>
      <w:pPr>
        <w:pStyle w:val="8"/>
        <w:spacing w:after="21"/>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表1</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line="208" w:lineRule="exact"/>
              <w:ind w:left="2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line="208" w:lineRule="exact"/>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外伤性脑脊液鼻漏或耳漏</w:t>
            </w:r>
          </w:p>
        </w:tc>
        <w:tc>
          <w:tcPr>
            <w:tcW w:w="850" w:type="dxa"/>
            <w:vAlign w:val="top"/>
          </w:tcPr>
          <w:p>
            <w:pPr>
              <w:pStyle w:val="24"/>
              <w:spacing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s130.188</w:t>
            </w:r>
          </w:p>
        </w:tc>
      </w:tr>
    </w:tbl>
    <w:p>
      <w:pPr>
        <w:pStyle w:val="20"/>
        <w:numPr>
          <w:ilvl w:val="2"/>
          <w:numId w:val="12"/>
        </w:numPr>
        <w:tabs>
          <w:tab w:val="left" w:pos="687"/>
        </w:tabs>
        <w:autoSpaceDE w:val="0"/>
        <w:autoSpaceDN w:val="0"/>
        <w:spacing w:before="138" w:after="0"/>
        <w:ind w:left="686" w:hanging="474"/>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脑的结构损伤，智力功能障碍</w:t>
      </w:r>
    </w:p>
    <w:p>
      <w:pPr>
        <w:pStyle w:val="8"/>
        <w:spacing w:before="167" w:after="21"/>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表2</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064" w:type="dxa"/>
            <w:vAlign w:val="top"/>
          </w:tcPr>
          <w:p>
            <w:pPr>
              <w:pStyle w:val="24"/>
              <w:spacing w:before="74"/>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before="74"/>
              <w:ind w:left="224" w:right="21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74"/>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064" w:type="dxa"/>
            <w:vAlign w:val="top"/>
          </w:tcPr>
          <w:p>
            <w:pPr>
              <w:pStyle w:val="24"/>
              <w:spacing w:before="5" w:line="240" w:lineRule="atLeast"/>
              <w:ind w:right="7"/>
              <w:rPr>
                <w:color w:val="000000" w:themeColor="text1"/>
                <w:sz w:val="18"/>
                <w:highlight w:val="none"/>
                <w14:textFill>
                  <w14:solidFill>
                    <w14:schemeClr w14:val="tx1"/>
                  </w14:solidFill>
                </w14:textFill>
              </w:rPr>
            </w:pPr>
            <w:r>
              <w:rPr>
                <w:color w:val="000000" w:themeColor="text1"/>
                <w:spacing w:val="-2"/>
                <w:sz w:val="18"/>
                <w:highlight w:val="none"/>
                <w14:textFill>
                  <w14:solidFill>
                    <w14:schemeClr w14:val="tx1"/>
                  </w14:solidFill>
                </w14:textFill>
              </w:rPr>
              <w:t>颅脑损伤导致极度智力缺损</w:t>
            </w:r>
            <w:r>
              <w:rPr>
                <w:color w:val="000000" w:themeColor="text1"/>
                <w:sz w:val="18"/>
                <w:highlight w:val="none"/>
                <w14:textFill>
                  <w14:solidFill>
                    <w14:schemeClr w14:val="tx1"/>
                  </w14:solidFill>
                </w14:textFill>
              </w:rPr>
              <w:t>（</w:t>
            </w:r>
            <w:r>
              <w:rPr>
                <w:color w:val="000000" w:themeColor="text1"/>
                <w:spacing w:val="-7"/>
                <w:sz w:val="18"/>
                <w:highlight w:val="none"/>
                <w14:textFill>
                  <w14:solidFill>
                    <w14:schemeClr w14:val="tx1"/>
                  </w14:solidFill>
                </w14:textFill>
              </w:rPr>
              <w:t xml:space="preserve">智商小于等于 </w:t>
            </w:r>
            <w:r>
              <w:rPr>
                <w:rFonts w:ascii="Times New Roman" w:eastAsia="Times New Roman"/>
                <w:color w:val="000000" w:themeColor="text1"/>
                <w:spacing w:val="-8"/>
                <w:sz w:val="18"/>
                <w:highlight w:val="none"/>
                <w14:textFill>
                  <w14:solidFill>
                    <w14:schemeClr w14:val="tx1"/>
                  </w14:solidFill>
                </w14:textFill>
              </w:rPr>
              <w:t>20</w:t>
            </w:r>
            <w:r>
              <w:rPr>
                <w:color w:val="000000" w:themeColor="text1"/>
                <w:spacing w:val="-8"/>
                <w:sz w:val="18"/>
                <w:highlight w:val="none"/>
                <w14:textFill>
                  <w14:solidFill>
                    <w14:schemeClr w14:val="tx1"/>
                  </w14:solidFill>
                </w14:textFill>
              </w:rPr>
              <w:t>），</w:t>
            </w:r>
            <w:r>
              <w:rPr>
                <w:color w:val="000000" w:themeColor="text1"/>
                <w:spacing w:val="-3"/>
                <w:sz w:val="18"/>
                <w:highlight w:val="none"/>
                <w14:textFill>
                  <w14:solidFill>
                    <w14:schemeClr w14:val="tx1"/>
                  </w14:solidFill>
                </w14:textFill>
              </w:rPr>
              <w:t xml:space="preserve">日常生活完全不能自理， </w:t>
            </w:r>
            <w:r>
              <w:rPr>
                <w:color w:val="000000" w:themeColor="text1"/>
                <w:sz w:val="18"/>
                <w:highlight w:val="none"/>
                <w14:textFill>
                  <w14:solidFill>
                    <w14:schemeClr w14:val="tx1"/>
                  </w14:solidFill>
                </w14:textFill>
              </w:rPr>
              <w:t>处于完全护理依赖状态</w:t>
            </w:r>
          </w:p>
        </w:tc>
        <w:tc>
          <w:tcPr>
            <w:tcW w:w="850" w:type="dxa"/>
            <w:vAlign w:val="top"/>
          </w:tcPr>
          <w:p>
            <w:pPr>
              <w:pStyle w:val="24"/>
              <w:spacing w:before="134"/>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660" w:type="dxa"/>
            <w:vAlign w:val="top"/>
          </w:tcPr>
          <w:p>
            <w:pPr>
              <w:pStyle w:val="24"/>
              <w:spacing w:before="146"/>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s110.488;b117.4, b198.4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064" w:type="dxa"/>
            <w:vAlign w:val="top"/>
          </w:tcPr>
          <w:p>
            <w:pPr>
              <w:pStyle w:val="24"/>
              <w:spacing w:before="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颅脑损伤导致重度智力缺损（智商小于等于 </w:t>
            </w:r>
            <w:r>
              <w:rPr>
                <w:rFonts w:ascii="Times New Roman" w:eastAsia="Times New Roman"/>
                <w:color w:val="000000" w:themeColor="text1"/>
                <w:sz w:val="18"/>
                <w:highlight w:val="none"/>
                <w14:textFill>
                  <w14:solidFill>
                    <w14:schemeClr w14:val="tx1"/>
                  </w14:solidFill>
                </w14:textFill>
              </w:rPr>
              <w:t>34</w:t>
            </w:r>
            <w:r>
              <w:rPr>
                <w:color w:val="000000" w:themeColor="text1"/>
                <w:sz w:val="18"/>
                <w:highlight w:val="none"/>
                <w14:textFill>
                  <w14:solidFill>
                    <w14:schemeClr w14:val="tx1"/>
                  </w14:solidFill>
                </w14:textFill>
              </w:rPr>
              <w:t>），日常生活需随时有人帮</w:t>
            </w:r>
          </w:p>
          <w:p>
            <w:pPr>
              <w:pStyle w:val="24"/>
              <w:spacing w:before="10"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助才能完成，处于完全护理依赖状态</w:t>
            </w:r>
          </w:p>
        </w:tc>
        <w:tc>
          <w:tcPr>
            <w:tcW w:w="850" w:type="dxa"/>
            <w:vAlign w:val="top"/>
          </w:tcPr>
          <w:p>
            <w:pPr>
              <w:pStyle w:val="24"/>
              <w:spacing w:before="128"/>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before="14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s110.388;b117.3, b198.3Z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2" w:line="240" w:lineRule="atLeast"/>
              <w:ind w:right="77"/>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颅脑损伤导致重度智力缺损（智商小于等于 </w:t>
            </w:r>
            <w:r>
              <w:rPr>
                <w:rFonts w:ascii="Times New Roman" w:eastAsia="Times New Roman"/>
                <w:color w:val="000000" w:themeColor="text1"/>
                <w:sz w:val="18"/>
                <w:highlight w:val="none"/>
                <w14:textFill>
                  <w14:solidFill>
                    <w14:schemeClr w14:val="tx1"/>
                  </w14:solidFill>
                </w14:textFill>
              </w:rPr>
              <w:t>34</w:t>
            </w:r>
            <w:r>
              <w:rPr>
                <w:color w:val="000000" w:themeColor="text1"/>
                <w:sz w:val="18"/>
                <w:highlight w:val="none"/>
                <w14:textFill>
                  <w14:solidFill>
                    <w14:schemeClr w14:val="tx1"/>
                  </w14:solidFill>
                </w14:textFill>
              </w:rPr>
              <w:t>），不能完全独立生活，需经常有人监护，处于大部分护理依赖状态</w:t>
            </w:r>
          </w:p>
        </w:tc>
        <w:tc>
          <w:tcPr>
            <w:tcW w:w="850" w:type="dxa"/>
            <w:vAlign w:val="top"/>
          </w:tcPr>
          <w:p>
            <w:pPr>
              <w:pStyle w:val="24"/>
              <w:spacing w:before="131"/>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143"/>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s110.388;b117.3, b198.3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064" w:type="dxa"/>
            <w:vAlign w:val="top"/>
          </w:tcPr>
          <w:p>
            <w:pPr>
              <w:pStyle w:val="24"/>
              <w:spacing w:before="0" w:line="240" w:lineRule="atLeast"/>
              <w:ind w:right="7"/>
              <w:rPr>
                <w:color w:val="000000" w:themeColor="text1"/>
                <w:sz w:val="18"/>
                <w:highlight w:val="none"/>
                <w14:textFill>
                  <w14:solidFill>
                    <w14:schemeClr w14:val="tx1"/>
                  </w14:solidFill>
                </w14:textFill>
              </w:rPr>
            </w:pPr>
            <w:r>
              <w:rPr>
                <w:color w:val="000000" w:themeColor="text1"/>
                <w:spacing w:val="-2"/>
                <w:sz w:val="18"/>
                <w:highlight w:val="none"/>
                <w14:textFill>
                  <w14:solidFill>
                    <w14:schemeClr w14:val="tx1"/>
                  </w14:solidFill>
                </w14:textFill>
              </w:rPr>
              <w:t>颅脑损伤导致中度智力缺损</w:t>
            </w:r>
            <w:r>
              <w:rPr>
                <w:color w:val="000000" w:themeColor="text1"/>
                <w:sz w:val="18"/>
                <w:highlight w:val="none"/>
                <w14:textFill>
                  <w14:solidFill>
                    <w14:schemeClr w14:val="tx1"/>
                  </w14:solidFill>
                </w14:textFill>
              </w:rPr>
              <w:t>（</w:t>
            </w:r>
            <w:r>
              <w:rPr>
                <w:color w:val="000000" w:themeColor="text1"/>
                <w:spacing w:val="-7"/>
                <w:sz w:val="18"/>
                <w:highlight w:val="none"/>
                <w14:textFill>
                  <w14:solidFill>
                    <w14:schemeClr w14:val="tx1"/>
                  </w14:solidFill>
                </w14:textFill>
              </w:rPr>
              <w:t xml:space="preserve">智商小于等于 </w:t>
            </w:r>
            <w:r>
              <w:rPr>
                <w:rFonts w:ascii="Times New Roman" w:eastAsia="Times New Roman"/>
                <w:color w:val="000000" w:themeColor="text1"/>
                <w:spacing w:val="-8"/>
                <w:sz w:val="18"/>
                <w:highlight w:val="none"/>
                <w14:textFill>
                  <w14:solidFill>
                    <w14:schemeClr w14:val="tx1"/>
                  </w14:solidFill>
                </w14:textFill>
              </w:rPr>
              <w:t>49</w:t>
            </w:r>
            <w:r>
              <w:rPr>
                <w:color w:val="000000" w:themeColor="text1"/>
                <w:spacing w:val="-8"/>
                <w:sz w:val="18"/>
                <w:highlight w:val="none"/>
                <w14:textFill>
                  <w14:solidFill>
                    <w14:schemeClr w14:val="tx1"/>
                  </w14:solidFill>
                </w14:textFill>
              </w:rPr>
              <w:t>），</w:t>
            </w:r>
            <w:r>
              <w:rPr>
                <w:color w:val="000000" w:themeColor="text1"/>
                <w:spacing w:val="-3"/>
                <w:sz w:val="18"/>
                <w:highlight w:val="none"/>
                <w14:textFill>
                  <w14:solidFill>
                    <w14:schemeClr w14:val="tx1"/>
                  </w14:solidFill>
                </w14:textFill>
              </w:rPr>
              <w:t xml:space="preserve">日常生活能力严重受限， </w:t>
            </w:r>
            <w:r>
              <w:rPr>
                <w:color w:val="000000" w:themeColor="text1"/>
                <w:sz w:val="18"/>
                <w:highlight w:val="none"/>
                <w14:textFill>
                  <w14:solidFill>
                    <w14:schemeClr w14:val="tx1"/>
                  </w14:solidFill>
                </w14:textFill>
              </w:rPr>
              <w:t>间或需要帮助，处于大部分护理依赖状态</w:t>
            </w:r>
          </w:p>
        </w:tc>
        <w:tc>
          <w:tcPr>
            <w:tcW w:w="850" w:type="dxa"/>
            <w:vAlign w:val="top"/>
          </w:tcPr>
          <w:p>
            <w:pPr>
              <w:pStyle w:val="24"/>
              <w:spacing w:before="129"/>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141"/>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s110.288;b117.2, b198.2</w:t>
            </w:r>
          </w:p>
        </w:tc>
      </w:tr>
    </w:tbl>
    <w:p>
      <w:pPr>
        <w:spacing w:before="38"/>
        <w:ind w:left="21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表注：①护理依赖：应用“基本日常生活活动能力”的丧失程度来判断护理依赖程度。</w:t>
      </w:r>
    </w:p>
    <w:p>
      <w:pPr>
        <w:spacing w:before="81" w:line="324" w:lineRule="auto"/>
        <w:ind w:left="212" w:right="620" w:firstLine="5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②基本日常生活活动是指：（1）穿衣：自己能够穿衣及脱衣；（2）移动：自己从一个房间到另一个房间；（3） 行动：自己上下床或上下轮椅；（4）如厕：自己控制进行大小便；（5）进食：自己从已准备好的碗或碟中取食物放入口中；（6）洗澡：自己进行淋浴或盆浴。</w:t>
      </w:r>
    </w:p>
    <w:p>
      <w:pPr>
        <w:spacing w:before="3" w:line="324" w:lineRule="auto"/>
        <w:ind w:left="215" w:right="623" w:firstLine="497"/>
        <w:rPr>
          <w:color w:val="000000" w:themeColor="text1"/>
          <w:sz w:val="18"/>
          <w:highlight w:val="none"/>
          <w14:textFill>
            <w14:solidFill>
              <w14:schemeClr w14:val="tx1"/>
            </w14:solidFill>
          </w14:textFill>
        </w:rPr>
      </w:pPr>
      <w:r>
        <w:rPr>
          <w:color w:val="000000" w:themeColor="text1"/>
          <w:spacing w:val="-7"/>
          <w:sz w:val="18"/>
          <w:highlight w:val="none"/>
          <w14:textFill>
            <w14:solidFill>
              <w14:schemeClr w14:val="tx1"/>
            </w14:solidFill>
          </w14:textFill>
        </w:rPr>
        <w:t>③护理依赖的程度分三级：</w:t>
      </w:r>
      <w:r>
        <w:rPr>
          <w:color w:val="000000" w:themeColor="text1"/>
          <w:sz w:val="18"/>
          <w:highlight w:val="none"/>
          <w14:textFill>
            <w14:solidFill>
              <w14:schemeClr w14:val="tx1"/>
            </w14:solidFill>
          </w14:textFill>
        </w:rPr>
        <w:t>（</w:t>
      </w:r>
      <w:r>
        <w:rPr>
          <w:color w:val="000000" w:themeColor="text1"/>
          <w:spacing w:val="1"/>
          <w:sz w:val="18"/>
          <w:highlight w:val="none"/>
          <w14:textFill>
            <w14:solidFill>
              <w14:schemeClr w14:val="tx1"/>
            </w14:solidFill>
          </w14:textFill>
        </w:rPr>
        <w:t>1</w:t>
      </w:r>
      <w:r>
        <w:rPr>
          <w:color w:val="000000" w:themeColor="text1"/>
          <w:spacing w:val="-77"/>
          <w:sz w:val="18"/>
          <w:highlight w:val="none"/>
          <w14:textFill>
            <w14:solidFill>
              <w14:schemeClr w14:val="tx1"/>
            </w14:solidFill>
          </w14:textFill>
        </w:rPr>
        <w:t>）</w:t>
      </w:r>
      <w:r>
        <w:rPr>
          <w:color w:val="000000" w:themeColor="text1"/>
          <w:spacing w:val="-3"/>
          <w:sz w:val="18"/>
          <w:highlight w:val="none"/>
          <w14:textFill>
            <w14:solidFill>
              <w14:schemeClr w14:val="tx1"/>
            </w14:solidFill>
          </w14:textFill>
        </w:rPr>
        <w:t>完全护理依赖指生活完全不能自理，上述六项基本日常生活活动均需护理者；（2</w:t>
      </w:r>
      <w:r>
        <w:rPr>
          <w:color w:val="000000" w:themeColor="text1"/>
          <w:spacing w:val="-8"/>
          <w:sz w:val="18"/>
          <w:highlight w:val="none"/>
          <w14:textFill>
            <w14:solidFill>
              <w14:schemeClr w14:val="tx1"/>
            </w14:solidFill>
          </w14:textFill>
        </w:rPr>
        <w:t>）</w:t>
      </w:r>
      <w:r>
        <w:rPr>
          <w:color w:val="000000" w:themeColor="text1"/>
          <w:sz w:val="18"/>
          <w:highlight w:val="none"/>
          <w14:textFill>
            <w14:solidFill>
              <w14:schemeClr w14:val="tx1"/>
            </w14:solidFill>
          </w14:textFill>
        </w:rPr>
        <w:t>大部分护理依赖指生活大部不能自理，上述六项基本日常生活活动中三项或三项以上需要护理者；（3）部分护理依赖 指部分生活不能自理，上述六项基本日常生活活动中一项或一项以上需要护理者。</w:t>
      </w:r>
    </w:p>
    <w:p>
      <w:pPr>
        <w:pStyle w:val="20"/>
        <w:numPr>
          <w:ilvl w:val="2"/>
          <w:numId w:val="12"/>
        </w:numPr>
        <w:tabs>
          <w:tab w:val="left" w:pos="739"/>
        </w:tabs>
        <w:autoSpaceDE w:val="0"/>
        <w:autoSpaceDN w:val="0"/>
        <w:spacing w:before="142" w:after="0"/>
        <w:ind w:left="738" w:hanging="526"/>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意识功能障碍</w:t>
      </w:r>
    </w:p>
    <w:p>
      <w:pPr>
        <w:pStyle w:val="8"/>
        <w:spacing w:before="7"/>
        <w:rPr>
          <w:rFonts w:ascii="黑体"/>
          <w:color w:val="000000" w:themeColor="text1"/>
          <w:sz w:val="15"/>
          <w:highlight w:val="none"/>
          <w14:textFill>
            <w14:solidFill>
              <w14:schemeClr w14:val="tx1"/>
            </w14:solidFill>
          </w14:textFill>
        </w:rPr>
      </w:pPr>
    </w:p>
    <w:p>
      <w:pPr>
        <w:pStyle w:val="8"/>
        <w:spacing w:line="278" w:lineRule="auto"/>
        <w:ind w:left="212" w:right="709" w:firstLine="42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意识功能是指意识和警觉状态下的一般精神功能，包括清醒和持续的觉醒状态。本标准中的意识功</w:t>
      </w:r>
      <w:r>
        <w:rPr>
          <w:color w:val="000000" w:themeColor="text1"/>
          <w:spacing w:val="-5"/>
          <w:highlight w:val="none"/>
          <w14:textFill>
            <w14:solidFill>
              <w14:schemeClr w14:val="tx1"/>
            </w14:solidFill>
          </w14:textFill>
        </w:rPr>
        <w:t>能障碍是指颅脑损伤导致植物状态。</w:t>
      </w:r>
    </w:p>
    <w:p>
      <w:pPr>
        <w:pStyle w:val="8"/>
        <w:spacing w:after="20"/>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3</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line="208" w:lineRule="exact"/>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4"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颅脑损伤导致植物状态</w:t>
            </w:r>
          </w:p>
        </w:tc>
        <w:tc>
          <w:tcPr>
            <w:tcW w:w="850" w:type="dxa"/>
            <w:vAlign w:val="top"/>
          </w:tcPr>
          <w:p>
            <w:pPr>
              <w:pStyle w:val="24"/>
              <w:spacing w:before="14"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b110.4</w:t>
            </w:r>
          </w:p>
        </w:tc>
      </w:tr>
    </w:tbl>
    <w:p>
      <w:pPr>
        <w:spacing w:line="196" w:lineRule="exact"/>
        <w:rPr>
          <w:color w:val="000000" w:themeColor="text1"/>
          <w:sz w:val="18"/>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1"/>
        <w:rPr>
          <w:rFonts w:ascii="黑体"/>
          <w:color w:val="000000" w:themeColor="text1"/>
          <w:sz w:val="15"/>
          <w:highlight w:val="none"/>
          <w14:textFill>
            <w14:solidFill>
              <w14:schemeClr w14:val="tx1"/>
            </w14:solidFill>
          </w14:textFill>
        </w:rPr>
      </w:pPr>
    </w:p>
    <w:p>
      <w:pPr>
        <w:spacing w:before="80" w:line="324" w:lineRule="auto"/>
        <w:ind w:left="498" w:right="5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表注：植物状态指由于严重颅脑损伤造成认知功能丧失，无意识活动，不能执行命令，保持自主呼吸和血压，有睡眠</w:t>
      </w:r>
      <w:r>
        <w:rPr>
          <w:rFonts w:eastAsia="Times New Roman"/>
          <w:color w:val="000000" w:themeColor="text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醒觉周期，不能理解和表达语言，能自动睁眼或刺激下睁眼，可有无目的性眼球跟踪运动，丘脑下部及脑干功能基本保存。</w:t>
      </w:r>
    </w:p>
    <w:p>
      <w:pPr>
        <w:pStyle w:val="20"/>
        <w:numPr>
          <w:ilvl w:val="1"/>
          <w:numId w:val="13"/>
        </w:numPr>
        <w:tabs>
          <w:tab w:val="left" w:pos="867"/>
        </w:tabs>
        <w:autoSpaceDE w:val="0"/>
        <w:autoSpaceDN w:val="0"/>
        <w:spacing w:before="143" w:after="0"/>
        <w:jc w:val="left"/>
        <w:rPr>
          <w:rFonts w:eastAsia="Times New Roman"/>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眼，耳和有关的结构和功能</w:t>
      </w:r>
    </w:p>
    <w:p>
      <w:pPr>
        <w:pStyle w:val="8"/>
        <w:spacing w:before="6"/>
        <w:rPr>
          <w:rFonts w:ascii="黑体"/>
          <w:color w:val="000000" w:themeColor="text1"/>
          <w:sz w:val="15"/>
          <w:highlight w:val="none"/>
          <w14:textFill>
            <w14:solidFill>
              <w14:schemeClr w14:val="tx1"/>
            </w14:solidFill>
          </w14:textFill>
        </w:rPr>
      </w:pPr>
    </w:p>
    <w:p>
      <w:pPr>
        <w:pStyle w:val="20"/>
        <w:numPr>
          <w:ilvl w:val="2"/>
          <w:numId w:val="13"/>
        </w:numPr>
        <w:tabs>
          <w:tab w:val="left" w:pos="1023"/>
        </w:tabs>
        <w:autoSpaceDE w:val="0"/>
        <w:autoSpaceDN w:val="0"/>
        <w:spacing w:before="1" w:after="0"/>
        <w:ind w:left="1022" w:hanging="526"/>
        <w:jc w:val="left"/>
        <w:rPr>
          <w:rFonts w:eastAsia="Times New Roman"/>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眼球损伤或视功能障碍</w:t>
      </w:r>
    </w:p>
    <w:p>
      <w:pPr>
        <w:pStyle w:val="8"/>
        <w:spacing w:before="6"/>
        <w:rPr>
          <w:rFonts w:ascii="黑体"/>
          <w:color w:val="000000" w:themeColor="text1"/>
          <w:sz w:val="15"/>
          <w:highlight w:val="none"/>
          <w14:textFill>
            <w14:solidFill>
              <w14:schemeClr w14:val="tx1"/>
            </w14:solidFill>
          </w14:textFill>
        </w:rPr>
      </w:pPr>
    </w:p>
    <w:p>
      <w:pPr>
        <w:pStyle w:val="8"/>
        <w:spacing w:line="278" w:lineRule="auto"/>
        <w:ind w:left="496" w:right="426" w:firstLine="42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视功能是指与感受存在的光线和感受视觉刺激的形式、大小、形状和颜色等有关的感觉功能。本标</w:t>
      </w:r>
      <w:r>
        <w:rPr>
          <w:color w:val="000000" w:themeColor="text1"/>
          <w:spacing w:val="-5"/>
          <w:highlight w:val="none"/>
          <w14:textFill>
            <w14:solidFill>
              <w14:schemeClr w14:val="tx1"/>
            </w14:solidFill>
          </w14:textFill>
        </w:rPr>
        <w:t>准中的视功能障碍是指眼盲目或低视力。</w:t>
      </w:r>
    </w:p>
    <w:p>
      <w:pPr>
        <w:pStyle w:val="8"/>
        <w:spacing w:after="21"/>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4</w:t>
      </w:r>
    </w:p>
    <w:tbl>
      <w:tblPr>
        <w:tblStyle w:val="14"/>
        <w:tblW w:w="9573"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8"/>
        <w:gridCol w:w="852"/>
        <w:gridCol w:w="2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ind w:left="2507" w:right="250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2" w:type="dxa"/>
            <w:vAlign w:val="top"/>
          </w:tcPr>
          <w:p>
            <w:pPr>
              <w:pStyle w:val="24"/>
              <w:spacing w:before="12" w:line="208" w:lineRule="exact"/>
              <w:ind w:left="196" w:right="19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943" w:type="dxa"/>
            <w:vAlign w:val="top"/>
          </w:tcPr>
          <w:p>
            <w:pPr>
              <w:pStyle w:val="24"/>
              <w:spacing w:before="12" w:line="208" w:lineRule="exact"/>
              <w:ind w:left="1092" w:right="107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778"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双侧眼球缺失</w:t>
            </w:r>
          </w:p>
        </w:tc>
        <w:tc>
          <w:tcPr>
            <w:tcW w:w="852" w:type="dxa"/>
            <w:vAlign w:val="top"/>
          </w:tcPr>
          <w:p>
            <w:pPr>
              <w:pStyle w:val="24"/>
              <w:spacing w:before="12"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943" w:type="dxa"/>
            <w:vAlign w:val="top"/>
          </w:tcPr>
          <w:p>
            <w:pPr>
              <w:pStyle w:val="24"/>
              <w:spacing w:before="24"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s220.413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一侧眼球缺失</w:t>
            </w:r>
          </w:p>
        </w:tc>
        <w:tc>
          <w:tcPr>
            <w:tcW w:w="852" w:type="dxa"/>
            <w:vAlign w:val="top"/>
          </w:tcPr>
          <w:p>
            <w:pPr>
              <w:pStyle w:val="24"/>
              <w:spacing w:before="12"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s220.411/2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778"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一侧眼球缺失，且另一侧眼盲目 </w:t>
            </w: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852" w:type="dxa"/>
            <w:vAlign w:val="top"/>
          </w:tcPr>
          <w:p>
            <w:pPr>
              <w:pStyle w:val="24"/>
              <w:spacing w:before="14"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943" w:type="dxa"/>
            <w:vAlign w:val="top"/>
          </w:tcPr>
          <w:p>
            <w:pPr>
              <w:pStyle w:val="24"/>
              <w:spacing w:before="26"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s220.411/2, b210.4Z2/1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一侧眼球缺失，且另一侧眼盲目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852" w:type="dxa"/>
            <w:vAlign w:val="top"/>
          </w:tcPr>
          <w:p>
            <w:pPr>
              <w:pStyle w:val="24"/>
              <w:spacing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s220.411/2, b210.42/1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一侧眼球缺失，且另一侧眼盲目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852" w:type="dxa"/>
            <w:vAlign w:val="top"/>
          </w:tcPr>
          <w:p>
            <w:pPr>
              <w:pStyle w:val="24"/>
              <w:spacing w:before="12"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s220.411/2, b210.32/1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一侧眼球缺失，且另一侧眼低视力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852" w:type="dxa"/>
            <w:vAlign w:val="top"/>
          </w:tcPr>
          <w:p>
            <w:pPr>
              <w:pStyle w:val="24"/>
              <w:spacing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s220.411/2, b210.22/1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一侧眼球缺失，且另一侧眼低视力 </w:t>
            </w: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852" w:type="dxa"/>
            <w:vAlign w:val="top"/>
          </w:tcPr>
          <w:p>
            <w:pPr>
              <w:pStyle w:val="24"/>
              <w:spacing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s220.411/2, b210.1X2/1</w:t>
            </w:r>
          </w:p>
        </w:tc>
      </w:tr>
    </w:tbl>
    <w:p>
      <w:pPr>
        <w:spacing w:before="38"/>
        <w:ind w:left="49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表注：①视力和视野</w:t>
      </w:r>
    </w:p>
    <w:p>
      <w:pPr>
        <w:spacing w:before="81" w:after="44"/>
        <w:ind w:left="65" w:right="1"/>
        <w:jc w:val="center"/>
        <w:rPr>
          <w:rFonts w:eastAsia="Times New Roman"/>
          <w:b/>
          <w:color w:val="000000" w:themeColor="text1"/>
          <w:sz w:val="18"/>
          <w:highlight w:val="none"/>
          <w14:textFill>
            <w14:solidFill>
              <w14:schemeClr w14:val="tx1"/>
            </w14:solidFill>
          </w14:textFill>
        </w:rPr>
      </w:pPr>
      <w:r>
        <w:rPr>
          <w:b/>
          <w:color w:val="000000" w:themeColor="text1"/>
          <w:sz w:val="18"/>
          <w:highlight w:val="none"/>
          <w14:textFill>
            <w14:solidFill>
              <w14:schemeClr w14:val="tx1"/>
            </w14:solidFill>
          </w14:textFill>
        </w:rPr>
        <w:t xml:space="preserve">表 </w:t>
      </w:r>
      <w:r>
        <w:rPr>
          <w:rFonts w:eastAsia="Times New Roman"/>
          <w:b/>
          <w:color w:val="000000" w:themeColor="text1"/>
          <w:sz w:val="18"/>
          <w:highlight w:val="none"/>
          <w14:textFill>
            <w14:solidFill>
              <w14:schemeClr w14:val="tx1"/>
            </w14:solidFill>
          </w14:textFill>
        </w:rPr>
        <w:t>5</w:t>
      </w:r>
    </w:p>
    <w:tbl>
      <w:tblPr>
        <w:tblStyle w:val="14"/>
        <w:tblW w:w="9571"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2"/>
        <w:gridCol w:w="888"/>
        <w:gridCol w:w="2935"/>
        <w:gridCol w:w="3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2930" w:type="dxa"/>
            <w:gridSpan w:val="2"/>
            <w:vMerge w:val="restart"/>
            <w:vAlign w:val="top"/>
          </w:tcPr>
          <w:p>
            <w:pPr>
              <w:pStyle w:val="24"/>
              <w:spacing w:before="10"/>
              <w:ind w:left="0"/>
              <w:rPr>
                <w:rFonts w:ascii="Times New Roman"/>
                <w:b/>
                <w:color w:val="000000" w:themeColor="text1"/>
                <w:highlight w:val="none"/>
                <w14:textFill>
                  <w14:solidFill>
                    <w14:schemeClr w14:val="tx1"/>
                  </w14:solidFill>
                </w14:textFill>
              </w:rPr>
            </w:pPr>
          </w:p>
          <w:p>
            <w:pPr>
              <w:pStyle w:val="24"/>
              <w:spacing w:before="1"/>
              <w:ind w:left="1263" w:right="125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级别</w:t>
            </w:r>
          </w:p>
        </w:tc>
        <w:tc>
          <w:tcPr>
            <w:tcW w:w="6641" w:type="dxa"/>
            <w:gridSpan w:val="2"/>
            <w:vAlign w:val="top"/>
          </w:tcPr>
          <w:p>
            <w:pPr>
              <w:pStyle w:val="24"/>
              <w:spacing w:before="14" w:line="208" w:lineRule="exact"/>
              <w:ind w:left="2402" w:right="238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低视力及盲目分级标准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930" w:type="dxa"/>
            <w:gridSpan w:val="2"/>
            <w:vMerge w:val="continue"/>
            <w:tcBorders>
              <w:top w:val="nil"/>
            </w:tcBorders>
            <w:vAlign w:val="top"/>
          </w:tcPr>
          <w:p>
            <w:pPr>
              <w:rPr>
                <w:color w:val="000000" w:themeColor="text1"/>
                <w:sz w:val="2"/>
                <w:szCs w:val="2"/>
                <w:highlight w:val="none"/>
                <w14:textFill>
                  <w14:solidFill>
                    <w14:schemeClr w14:val="tx1"/>
                  </w14:solidFill>
                </w14:textFill>
              </w:rPr>
            </w:pPr>
          </w:p>
        </w:tc>
        <w:tc>
          <w:tcPr>
            <w:tcW w:w="6641" w:type="dxa"/>
            <w:gridSpan w:val="2"/>
            <w:vAlign w:val="top"/>
          </w:tcPr>
          <w:p>
            <w:pPr>
              <w:pStyle w:val="24"/>
              <w:spacing w:before="12" w:line="208" w:lineRule="exact"/>
              <w:ind w:left="2402" w:right="238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最好矫正视力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930" w:type="dxa"/>
            <w:gridSpan w:val="2"/>
            <w:vMerge w:val="continue"/>
            <w:tcBorders>
              <w:top w:val="nil"/>
            </w:tcBorders>
            <w:vAlign w:val="top"/>
          </w:tcPr>
          <w:p>
            <w:pPr>
              <w:rPr>
                <w:color w:val="000000" w:themeColor="text1"/>
                <w:sz w:val="2"/>
                <w:szCs w:val="2"/>
                <w:highlight w:val="none"/>
                <w14:textFill>
                  <w14:solidFill>
                    <w14:schemeClr w14:val="tx1"/>
                  </w14:solidFill>
                </w14:textFill>
              </w:rPr>
            </w:pPr>
          </w:p>
        </w:tc>
        <w:tc>
          <w:tcPr>
            <w:tcW w:w="2935" w:type="dxa"/>
            <w:vAlign w:val="top"/>
          </w:tcPr>
          <w:p>
            <w:pPr>
              <w:pStyle w:val="24"/>
              <w:spacing w:line="208" w:lineRule="exact"/>
              <w:ind w:left="729" w:right="715"/>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最好矫正视力低于</w:t>
            </w:r>
          </w:p>
        </w:tc>
        <w:tc>
          <w:tcPr>
            <w:tcW w:w="3706" w:type="dxa"/>
            <w:vAlign w:val="top"/>
          </w:tcPr>
          <w:p>
            <w:pPr>
              <w:pStyle w:val="24"/>
              <w:spacing w:line="208" w:lineRule="exact"/>
              <w:ind w:left="842" w:right="833"/>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最低矫正视力等于或优于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042" w:type="dxa"/>
            <w:vMerge w:val="restart"/>
            <w:vAlign w:val="top"/>
          </w:tcPr>
          <w:p>
            <w:pPr>
              <w:pStyle w:val="24"/>
              <w:spacing w:before="136"/>
              <w:ind w:left="730" w:right="72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低视力</w:t>
            </w:r>
          </w:p>
        </w:tc>
        <w:tc>
          <w:tcPr>
            <w:tcW w:w="888" w:type="dxa"/>
            <w:vAlign w:val="top"/>
          </w:tcPr>
          <w:p>
            <w:pPr>
              <w:pStyle w:val="24"/>
              <w:spacing w:before="23" w:line="196" w:lineRule="exact"/>
              <w:ind w:left="15"/>
              <w:jc w:val="center"/>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1</w:t>
            </w:r>
          </w:p>
        </w:tc>
        <w:tc>
          <w:tcPr>
            <w:tcW w:w="2935" w:type="dxa"/>
            <w:vAlign w:val="top"/>
          </w:tcPr>
          <w:p>
            <w:pPr>
              <w:pStyle w:val="24"/>
              <w:spacing w:before="23" w:line="196" w:lineRule="exact"/>
              <w:ind w:left="729" w:right="715"/>
              <w:jc w:val="center"/>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0.3</w:t>
            </w:r>
          </w:p>
        </w:tc>
        <w:tc>
          <w:tcPr>
            <w:tcW w:w="3706" w:type="dxa"/>
            <w:vAlign w:val="top"/>
          </w:tcPr>
          <w:p>
            <w:pPr>
              <w:pStyle w:val="24"/>
              <w:spacing w:before="23" w:line="196" w:lineRule="exact"/>
              <w:ind w:left="842" w:right="828"/>
              <w:jc w:val="center"/>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042" w:type="dxa"/>
            <w:vMerge w:val="continue"/>
            <w:tcBorders>
              <w:top w:val="nil"/>
            </w:tcBorders>
            <w:vAlign w:val="top"/>
          </w:tcPr>
          <w:p>
            <w:pPr>
              <w:rPr>
                <w:color w:val="000000" w:themeColor="text1"/>
                <w:sz w:val="2"/>
                <w:szCs w:val="2"/>
                <w:highlight w:val="none"/>
                <w14:textFill>
                  <w14:solidFill>
                    <w14:schemeClr w14:val="tx1"/>
                  </w14:solidFill>
                </w14:textFill>
              </w:rPr>
            </w:pPr>
          </w:p>
        </w:tc>
        <w:tc>
          <w:tcPr>
            <w:tcW w:w="888" w:type="dxa"/>
            <w:vAlign w:val="top"/>
          </w:tcPr>
          <w:p>
            <w:pPr>
              <w:pStyle w:val="24"/>
              <w:spacing w:before="24" w:line="196" w:lineRule="exact"/>
              <w:ind w:left="15"/>
              <w:jc w:val="center"/>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2</w:t>
            </w:r>
          </w:p>
        </w:tc>
        <w:tc>
          <w:tcPr>
            <w:tcW w:w="2935" w:type="dxa"/>
            <w:vAlign w:val="top"/>
          </w:tcPr>
          <w:p>
            <w:pPr>
              <w:pStyle w:val="24"/>
              <w:spacing w:before="24" w:line="196" w:lineRule="exact"/>
              <w:ind w:left="729" w:right="715"/>
              <w:jc w:val="center"/>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0.1</w:t>
            </w:r>
          </w:p>
        </w:tc>
        <w:tc>
          <w:tcPr>
            <w:tcW w:w="3706" w:type="dxa"/>
            <w:vAlign w:val="top"/>
          </w:tcPr>
          <w:p>
            <w:pPr>
              <w:pStyle w:val="24"/>
              <w:spacing w:before="12" w:line="208" w:lineRule="exact"/>
              <w:ind w:left="842" w:right="83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0.05</w:t>
            </w:r>
            <w:r>
              <w:rPr>
                <w:color w:val="000000" w:themeColor="text1"/>
                <w:sz w:val="18"/>
                <w:highlight w:val="none"/>
                <w14:textFill>
                  <w14:solidFill>
                    <w14:schemeClr w14:val="tx1"/>
                  </w14:solidFill>
                </w14:textFill>
              </w:rPr>
              <w:t>（三米指数）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042" w:type="dxa"/>
            <w:vMerge w:val="restart"/>
            <w:vAlign w:val="top"/>
          </w:tcPr>
          <w:p>
            <w:pPr>
              <w:pStyle w:val="24"/>
              <w:spacing w:before="10"/>
              <w:ind w:left="0"/>
              <w:rPr>
                <w:rFonts w:ascii="Times New Roman"/>
                <w:b/>
                <w:color w:val="000000" w:themeColor="text1"/>
                <w:highlight w:val="none"/>
                <w14:textFill>
                  <w14:solidFill>
                    <w14:schemeClr w14:val="tx1"/>
                  </w14:solidFill>
                </w14:textFill>
              </w:rPr>
            </w:pPr>
          </w:p>
          <w:p>
            <w:pPr>
              <w:pStyle w:val="24"/>
              <w:spacing w:before="1"/>
              <w:ind w:left="728" w:right="72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盲目</w:t>
            </w:r>
          </w:p>
        </w:tc>
        <w:tc>
          <w:tcPr>
            <w:tcW w:w="888" w:type="dxa"/>
            <w:vAlign w:val="top"/>
          </w:tcPr>
          <w:p>
            <w:pPr>
              <w:pStyle w:val="24"/>
              <w:spacing w:before="23" w:line="196" w:lineRule="exact"/>
              <w:ind w:left="15"/>
              <w:jc w:val="center"/>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3</w:t>
            </w:r>
          </w:p>
        </w:tc>
        <w:tc>
          <w:tcPr>
            <w:tcW w:w="2935" w:type="dxa"/>
            <w:vAlign w:val="top"/>
          </w:tcPr>
          <w:p>
            <w:pPr>
              <w:pStyle w:val="24"/>
              <w:spacing w:before="23" w:line="196" w:lineRule="exact"/>
              <w:ind w:left="727" w:right="715"/>
              <w:jc w:val="center"/>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0.05</w:t>
            </w:r>
          </w:p>
        </w:tc>
        <w:tc>
          <w:tcPr>
            <w:tcW w:w="3706" w:type="dxa"/>
            <w:vAlign w:val="top"/>
          </w:tcPr>
          <w:p>
            <w:pPr>
              <w:pStyle w:val="24"/>
              <w:spacing w:line="208" w:lineRule="exact"/>
              <w:ind w:left="842" w:right="83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0.02</w:t>
            </w:r>
            <w:r>
              <w:rPr>
                <w:color w:val="000000" w:themeColor="text1"/>
                <w:sz w:val="18"/>
                <w:highlight w:val="none"/>
                <w14:textFill>
                  <w14:solidFill>
                    <w14:schemeClr w14:val="tx1"/>
                  </w14:solidFill>
                </w14:textFill>
              </w:rPr>
              <w:t>（一米指数）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2042" w:type="dxa"/>
            <w:vMerge w:val="continue"/>
            <w:tcBorders>
              <w:top w:val="nil"/>
            </w:tcBorders>
            <w:vAlign w:val="top"/>
          </w:tcPr>
          <w:p>
            <w:pPr>
              <w:rPr>
                <w:color w:val="000000" w:themeColor="text1"/>
                <w:sz w:val="2"/>
                <w:szCs w:val="2"/>
                <w:highlight w:val="none"/>
                <w14:textFill>
                  <w14:solidFill>
                    <w14:schemeClr w14:val="tx1"/>
                  </w14:solidFill>
                </w14:textFill>
              </w:rPr>
            </w:pPr>
          </w:p>
        </w:tc>
        <w:tc>
          <w:tcPr>
            <w:tcW w:w="888" w:type="dxa"/>
            <w:vAlign w:val="top"/>
          </w:tcPr>
          <w:p>
            <w:pPr>
              <w:pStyle w:val="24"/>
              <w:spacing w:before="26" w:line="196" w:lineRule="exact"/>
              <w:ind w:left="15"/>
              <w:jc w:val="center"/>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4</w:t>
            </w:r>
          </w:p>
        </w:tc>
        <w:tc>
          <w:tcPr>
            <w:tcW w:w="2935" w:type="dxa"/>
            <w:vAlign w:val="top"/>
          </w:tcPr>
          <w:p>
            <w:pPr>
              <w:pStyle w:val="24"/>
              <w:spacing w:before="26" w:line="196" w:lineRule="exact"/>
              <w:ind w:left="727" w:right="715"/>
              <w:jc w:val="center"/>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0.02</w:t>
            </w:r>
          </w:p>
        </w:tc>
        <w:tc>
          <w:tcPr>
            <w:tcW w:w="3706" w:type="dxa"/>
            <w:vAlign w:val="top"/>
          </w:tcPr>
          <w:p>
            <w:pPr>
              <w:pStyle w:val="24"/>
              <w:spacing w:before="14" w:line="208" w:lineRule="exact"/>
              <w:ind w:left="842" w:right="82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光感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042" w:type="dxa"/>
            <w:vMerge w:val="continue"/>
            <w:tcBorders>
              <w:top w:val="nil"/>
            </w:tcBorders>
            <w:vAlign w:val="top"/>
          </w:tcPr>
          <w:p>
            <w:pPr>
              <w:rPr>
                <w:color w:val="000000" w:themeColor="text1"/>
                <w:sz w:val="2"/>
                <w:szCs w:val="2"/>
                <w:highlight w:val="none"/>
                <w14:textFill>
                  <w14:solidFill>
                    <w14:schemeClr w14:val="tx1"/>
                  </w14:solidFill>
                </w14:textFill>
              </w:rPr>
            </w:pPr>
          </w:p>
        </w:tc>
        <w:tc>
          <w:tcPr>
            <w:tcW w:w="888" w:type="dxa"/>
            <w:vAlign w:val="top"/>
          </w:tcPr>
          <w:p>
            <w:pPr>
              <w:pStyle w:val="24"/>
              <w:spacing w:before="23" w:line="196" w:lineRule="exact"/>
              <w:ind w:left="15"/>
              <w:jc w:val="center"/>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5</w:t>
            </w:r>
          </w:p>
        </w:tc>
        <w:tc>
          <w:tcPr>
            <w:tcW w:w="6641" w:type="dxa"/>
            <w:gridSpan w:val="2"/>
            <w:vAlign w:val="top"/>
          </w:tcPr>
          <w:p>
            <w:pPr>
              <w:pStyle w:val="24"/>
              <w:spacing w:line="208" w:lineRule="exact"/>
              <w:ind w:left="2402" w:right="238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无光感</w:t>
            </w:r>
          </w:p>
        </w:tc>
      </w:tr>
    </w:tbl>
    <w:p>
      <w:pPr>
        <w:spacing w:before="38" w:line="324" w:lineRule="auto"/>
        <w:ind w:left="496" w:right="436" w:firstLine="360"/>
        <w:rPr>
          <w:color w:val="000000" w:themeColor="text1"/>
          <w:sz w:val="18"/>
          <w:highlight w:val="none"/>
          <w14:textFill>
            <w14:solidFill>
              <w14:schemeClr w14:val="tx1"/>
            </w14:solidFill>
          </w14:textFill>
        </w:rPr>
      </w:pPr>
      <w:r>
        <w:rPr>
          <w:color w:val="000000" w:themeColor="text1"/>
          <w:spacing w:val="-2"/>
          <w:sz w:val="18"/>
          <w:highlight w:val="none"/>
          <w14:textFill>
            <w14:solidFill>
              <w14:schemeClr w14:val="tx1"/>
            </w14:solidFill>
          </w14:textFill>
        </w:rPr>
        <w:t xml:space="preserve">如果中心视力好而视野缩小，以中央注视点为中心，视野直径小于 </w:t>
      </w:r>
      <w:r>
        <w:rPr>
          <w:rFonts w:eastAsia="Times New Roman"/>
          <w:color w:val="000000" w:themeColor="text1"/>
          <w:sz w:val="18"/>
          <w:highlight w:val="none"/>
          <w14:textFill>
            <w14:solidFill>
              <w14:schemeClr w14:val="tx1"/>
            </w14:solidFill>
          </w14:textFill>
        </w:rPr>
        <w:t>20°</w:t>
      </w:r>
      <w:r>
        <w:rPr>
          <w:color w:val="000000" w:themeColor="text1"/>
          <w:spacing w:val="-12"/>
          <w:sz w:val="18"/>
          <w:highlight w:val="none"/>
          <w14:textFill>
            <w14:solidFill>
              <w14:schemeClr w14:val="tx1"/>
            </w14:solidFill>
          </w14:textFill>
        </w:rPr>
        <w:t xml:space="preserve">而大于 </w:t>
      </w:r>
      <w:r>
        <w:rPr>
          <w:rFonts w:eastAsia="Times New Roman"/>
          <w:color w:val="000000" w:themeColor="text1"/>
          <w:sz w:val="18"/>
          <w:highlight w:val="none"/>
          <w14:textFill>
            <w14:solidFill>
              <w14:schemeClr w14:val="tx1"/>
            </w14:solidFill>
          </w14:textFill>
        </w:rPr>
        <w:t>10°</w:t>
      </w:r>
      <w:r>
        <w:rPr>
          <w:color w:val="000000" w:themeColor="text1"/>
          <w:spacing w:val="-10"/>
          <w:sz w:val="18"/>
          <w:highlight w:val="none"/>
          <w14:textFill>
            <w14:solidFill>
              <w14:schemeClr w14:val="tx1"/>
            </w14:solidFill>
          </w14:textFill>
        </w:rPr>
        <w:t xml:space="preserve">者为盲目 </w:t>
      </w:r>
      <w:r>
        <w:rPr>
          <w:rFonts w:eastAsia="Times New Roman"/>
          <w:color w:val="000000" w:themeColor="text1"/>
          <w:sz w:val="18"/>
          <w:highlight w:val="none"/>
          <w14:textFill>
            <w14:solidFill>
              <w14:schemeClr w14:val="tx1"/>
            </w14:solidFill>
          </w14:textFill>
        </w:rPr>
        <w:t xml:space="preserve">3 </w:t>
      </w:r>
      <w:r>
        <w:rPr>
          <w:color w:val="000000" w:themeColor="text1"/>
          <w:spacing w:val="-6"/>
          <w:sz w:val="18"/>
          <w:highlight w:val="none"/>
          <w14:textFill>
            <w14:solidFill>
              <w14:schemeClr w14:val="tx1"/>
            </w14:solidFill>
          </w14:textFill>
        </w:rPr>
        <w:t xml:space="preserve">级；如直径小于 </w:t>
      </w:r>
      <w:r>
        <w:rPr>
          <w:rFonts w:eastAsia="Times New Roman"/>
          <w:color w:val="000000" w:themeColor="text1"/>
          <w:sz w:val="18"/>
          <w:highlight w:val="none"/>
          <w14:textFill>
            <w14:solidFill>
              <w14:schemeClr w14:val="tx1"/>
            </w14:solidFill>
          </w14:textFill>
        </w:rPr>
        <w:t>10°</w:t>
      </w:r>
      <w:r>
        <w:rPr>
          <w:color w:val="000000" w:themeColor="text1"/>
          <w:spacing w:val="-11"/>
          <w:sz w:val="18"/>
          <w:highlight w:val="none"/>
          <w14:textFill>
            <w14:solidFill>
              <w14:schemeClr w14:val="tx1"/>
            </w14:solidFill>
          </w14:textFill>
        </w:rPr>
        <w:t>者</w:t>
      </w:r>
      <w:r>
        <w:rPr>
          <w:color w:val="000000" w:themeColor="text1"/>
          <w:spacing w:val="-12"/>
          <w:sz w:val="18"/>
          <w:highlight w:val="none"/>
          <w14:textFill>
            <w14:solidFill>
              <w14:schemeClr w14:val="tx1"/>
            </w14:solidFill>
          </w14:textFill>
        </w:rPr>
        <w:t xml:space="preserve">为盲目 </w:t>
      </w:r>
      <w:r>
        <w:rPr>
          <w:rFonts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p>
      <w:pPr>
        <w:spacing w:before="1"/>
        <w:ind w:left="85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本标准视力以矫正视力为准，经治疗而无法恢复者。</w:t>
      </w:r>
    </w:p>
    <w:p>
      <w:pPr>
        <w:spacing w:before="82" w:line="324" w:lineRule="auto"/>
        <w:ind w:left="496" w:right="607" w:firstLine="5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②视野缺损指因损伤导致眼球注视前方而不转动所能看到的空间范围缩窄，以致难以从事正常工作、学习或其他活动。</w:t>
      </w:r>
    </w:p>
    <w:p>
      <w:pPr>
        <w:spacing w:before="1"/>
        <w:ind w:left="85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下同。</w:t>
      </w:r>
    </w:p>
    <w:p>
      <w:pPr>
        <w:pStyle w:val="8"/>
        <w:spacing w:before="4"/>
        <w:rPr>
          <w:color w:val="000000" w:themeColor="text1"/>
          <w:sz w:val="17"/>
          <w:highlight w:val="none"/>
          <w14:textFill>
            <w14:solidFill>
              <w14:schemeClr w14:val="tx1"/>
            </w14:solidFill>
          </w14:textFill>
        </w:rPr>
      </w:pPr>
    </w:p>
    <w:p>
      <w:pPr>
        <w:pStyle w:val="20"/>
        <w:numPr>
          <w:ilvl w:val="2"/>
          <w:numId w:val="13"/>
        </w:numPr>
        <w:tabs>
          <w:tab w:val="left" w:pos="1023"/>
        </w:tabs>
        <w:autoSpaceDE w:val="0"/>
        <w:autoSpaceDN w:val="0"/>
        <w:spacing w:after="0"/>
        <w:ind w:left="1022" w:hanging="526"/>
        <w:jc w:val="left"/>
        <w:rPr>
          <w:rFonts w:eastAsia="Times New Roman"/>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视功能障碍</w:t>
      </w:r>
    </w:p>
    <w:p>
      <w:pPr>
        <w:pStyle w:val="8"/>
        <w:spacing w:before="7"/>
        <w:rPr>
          <w:rFonts w:ascii="黑体"/>
          <w:color w:val="000000" w:themeColor="text1"/>
          <w:sz w:val="15"/>
          <w:highlight w:val="none"/>
          <w14:textFill>
            <w14:solidFill>
              <w14:schemeClr w14:val="tx1"/>
            </w14:solidFill>
          </w14:textFill>
        </w:rPr>
      </w:pPr>
    </w:p>
    <w:p>
      <w:pPr>
        <w:pStyle w:val="8"/>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除眼盲目和低视力外，本标准中的视功能障碍还包括视野缺损。</w:t>
      </w:r>
    </w:p>
    <w:p>
      <w:pPr>
        <w:pStyle w:val="8"/>
        <w:spacing w:before="43" w:after="21"/>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6</w:t>
      </w:r>
    </w:p>
    <w:tbl>
      <w:tblPr>
        <w:tblStyle w:val="14"/>
        <w:tblW w:w="9573"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8"/>
        <w:gridCol w:w="852"/>
        <w:gridCol w:w="2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ind w:left="2507" w:right="250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2" w:type="dxa"/>
            <w:vAlign w:val="top"/>
          </w:tcPr>
          <w:p>
            <w:pPr>
              <w:pStyle w:val="24"/>
              <w:spacing w:before="12" w:line="208" w:lineRule="exact"/>
              <w:ind w:left="196" w:right="19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943" w:type="dxa"/>
            <w:vAlign w:val="top"/>
          </w:tcPr>
          <w:p>
            <w:pPr>
              <w:pStyle w:val="24"/>
              <w:spacing w:before="12" w:line="208" w:lineRule="exact"/>
              <w:ind w:left="1092" w:right="107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双眼盲目 </w:t>
            </w: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852" w:type="dxa"/>
            <w:vAlign w:val="top"/>
          </w:tcPr>
          <w:p>
            <w:pPr>
              <w:pStyle w:val="24"/>
              <w:spacing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b210.4Z3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line="208" w:lineRule="exact"/>
              <w:rPr>
                <w:rFonts w:ascii="Times New Roman" w:hAns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双眼视野缺损，直径小于 </w:t>
            </w:r>
            <w:r>
              <w:rPr>
                <w:rFonts w:ascii="Times New Roman" w:hAnsi="Times New Roman" w:eastAsia="Times New Roman"/>
                <w:color w:val="000000" w:themeColor="text1"/>
                <w:sz w:val="18"/>
                <w:highlight w:val="none"/>
                <w14:textFill>
                  <w14:solidFill>
                    <w14:schemeClr w14:val="tx1"/>
                  </w14:solidFill>
                </w14:textFill>
              </w:rPr>
              <w:t>5°</w:t>
            </w:r>
          </w:p>
        </w:tc>
        <w:tc>
          <w:tcPr>
            <w:tcW w:w="852" w:type="dxa"/>
            <w:vAlign w:val="top"/>
          </w:tcPr>
          <w:p>
            <w:pPr>
              <w:pStyle w:val="24"/>
              <w:spacing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b2101.4Z3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778"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双眼盲目大于等于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852" w:type="dxa"/>
            <w:vAlign w:val="top"/>
          </w:tcPr>
          <w:p>
            <w:pPr>
              <w:pStyle w:val="24"/>
              <w:spacing w:before="14"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943" w:type="dxa"/>
            <w:vAlign w:val="top"/>
          </w:tcPr>
          <w:p>
            <w:pPr>
              <w:pStyle w:val="24"/>
              <w:spacing w:before="26"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line="208" w:lineRule="exact"/>
              <w:rPr>
                <w:rFonts w:ascii="Times New Roman" w:hAns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双眼视野缺损，直径小于 </w:t>
            </w:r>
            <w:r>
              <w:rPr>
                <w:rFonts w:ascii="Times New Roman" w:hAnsi="Times New Roman" w:eastAsia="Times New Roman"/>
                <w:color w:val="000000" w:themeColor="text1"/>
                <w:sz w:val="18"/>
                <w:highlight w:val="none"/>
                <w14:textFill>
                  <w14:solidFill>
                    <w14:schemeClr w14:val="tx1"/>
                  </w14:solidFill>
                </w14:textFill>
              </w:rPr>
              <w:t>10°</w:t>
            </w:r>
          </w:p>
        </w:tc>
        <w:tc>
          <w:tcPr>
            <w:tcW w:w="852" w:type="dxa"/>
            <w:vAlign w:val="top"/>
          </w:tcPr>
          <w:p>
            <w:pPr>
              <w:pStyle w:val="24"/>
              <w:spacing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双眼盲目大于等于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852" w:type="dxa"/>
            <w:vAlign w:val="top"/>
          </w:tcPr>
          <w:p>
            <w:pPr>
              <w:pStyle w:val="24"/>
              <w:spacing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rPr>
                <w:rFonts w:ascii="Times New Roman" w:hAns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双眼视野缺损，直径小于 </w:t>
            </w:r>
            <w:r>
              <w:rPr>
                <w:rFonts w:ascii="Times New Roman" w:hAnsi="Times New Roman" w:eastAsia="Times New Roman"/>
                <w:color w:val="000000" w:themeColor="text1"/>
                <w:sz w:val="18"/>
                <w:highlight w:val="none"/>
                <w14:textFill>
                  <w14:solidFill>
                    <w14:schemeClr w14:val="tx1"/>
                  </w14:solidFill>
                </w14:textFill>
              </w:rPr>
              <w:t>20°</w:t>
            </w:r>
          </w:p>
        </w:tc>
        <w:tc>
          <w:tcPr>
            <w:tcW w:w="852" w:type="dxa"/>
            <w:vAlign w:val="top"/>
          </w:tcPr>
          <w:p>
            <w:pPr>
              <w:pStyle w:val="24"/>
              <w:spacing w:before="12"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双眼低视力大于等于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852" w:type="dxa"/>
            <w:vAlign w:val="top"/>
          </w:tcPr>
          <w:p>
            <w:pPr>
              <w:pStyle w:val="24"/>
              <w:spacing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双眼低视力大于等于 </w:t>
            </w: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852" w:type="dxa"/>
            <w:vAlign w:val="top"/>
          </w:tcPr>
          <w:p>
            <w:pPr>
              <w:pStyle w:val="24"/>
              <w:spacing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b210.1X3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778" w:type="dxa"/>
            <w:vAlign w:val="top"/>
          </w:tcPr>
          <w:p>
            <w:pPr>
              <w:pStyle w:val="24"/>
              <w:spacing w:before="14" w:line="208" w:lineRule="exact"/>
              <w:rPr>
                <w:rFonts w:ascii="Times New Roman" w:hAns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双眼视野缺损，直径小于 </w:t>
            </w:r>
            <w:r>
              <w:rPr>
                <w:rFonts w:ascii="Times New Roman" w:hAnsi="Times New Roman" w:eastAsia="Times New Roman"/>
                <w:color w:val="000000" w:themeColor="text1"/>
                <w:sz w:val="18"/>
                <w:highlight w:val="none"/>
                <w14:textFill>
                  <w14:solidFill>
                    <w14:schemeClr w14:val="tx1"/>
                  </w14:solidFill>
                </w14:textFill>
              </w:rPr>
              <w:t>60°</w:t>
            </w:r>
          </w:p>
        </w:tc>
        <w:tc>
          <w:tcPr>
            <w:tcW w:w="852" w:type="dxa"/>
            <w:vAlign w:val="top"/>
          </w:tcPr>
          <w:p>
            <w:pPr>
              <w:pStyle w:val="24"/>
              <w:spacing w:before="14" w:line="208" w:lineRule="exact"/>
              <w:ind w:left="201"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943" w:type="dxa"/>
            <w:vAlign w:val="top"/>
          </w:tcPr>
          <w:p>
            <w:pPr>
              <w:pStyle w:val="24"/>
              <w:spacing w:before="26"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b2101.23</w:t>
            </w:r>
          </w:p>
        </w:tc>
      </w:tr>
    </w:tbl>
    <w:p>
      <w:pPr>
        <w:spacing w:line="196" w:lineRule="exact"/>
        <w:rPr>
          <w:color w:val="000000" w:themeColor="text1"/>
          <w:sz w:val="18"/>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4"/>
        <w:rPr>
          <w:rFonts w:ascii="黑体"/>
          <w:color w:val="000000" w:themeColor="text1"/>
          <w:sz w:val="18"/>
          <w:highlight w:val="none"/>
          <w14:textFill>
            <w14:solidFill>
              <w14:schemeClr w14:val="tx1"/>
            </w14:solidFill>
          </w14:textFill>
        </w:rPr>
      </w:pPr>
    </w:p>
    <w:p>
      <w:pPr>
        <w:pStyle w:val="8"/>
        <w:spacing w:line="20" w:lineRule="exact"/>
        <w:ind w:left="99"/>
        <w:rPr>
          <w:rFonts w:ascii="黑体"/>
          <w:color w:val="000000" w:themeColor="text1"/>
          <w:sz w:val="2"/>
          <w:highlight w:val="none"/>
          <w14:textFill>
            <w14:solidFill>
              <w14:schemeClr w14:val="tx1"/>
            </w14:solidFill>
          </w14:textFill>
        </w:rPr>
      </w:pPr>
      <w:r>
        <w:rPr>
          <w:rFonts w:ascii="黑体"/>
          <w:color w:val="000000" w:themeColor="text1"/>
          <w:sz w:val="2"/>
          <w:highlight w:val="none"/>
          <w:lang w:val="en-US" w:bidi="ar-SA"/>
          <w14:textFill>
            <w14:solidFill>
              <w14:schemeClr w14:val="tx1"/>
            </w14:solidFill>
          </w14:textFill>
        </w:rPr>
        <mc:AlternateContent>
          <mc:Choice Requires="wpg">
            <w:drawing>
              <wp:inline distT="0" distB="0" distL="114300" distR="114300">
                <wp:extent cx="6079490" cy="6350"/>
                <wp:effectExtent l="0" t="0" r="0" b="0"/>
                <wp:docPr id="89" name="组合 89"/>
                <wp:cNvGraphicFramePr/>
                <a:graphic xmlns:a="http://schemas.openxmlformats.org/drawingml/2006/main">
                  <a:graphicData uri="http://schemas.microsoft.com/office/word/2010/wordprocessingGroup">
                    <wpg:wgp>
                      <wpg:cNvGrpSpPr>
                        <a:grpSpLocks noRot="1"/>
                      </wpg:cNvGrpSpPr>
                      <wpg:grpSpPr>
                        <a:xfrm>
                          <a:off x="0" y="0"/>
                          <a:ext cx="6079490" cy="6350"/>
                          <a:chOff x="0" y="0"/>
                          <a:chExt cx="9574" cy="0"/>
                        </a:xfrm>
                      </wpg:grpSpPr>
                      <wps:wsp>
                        <wps:cNvPr id="88" name="直接连接符 88"/>
                        <wps:cNvCnPr/>
                        <wps:spPr>
                          <a:xfrm>
                            <a:off x="0" y="0"/>
                            <a:ext cx="9574"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78.7pt;" coordsize="9574,0" o:gfxdata="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4Syx1AAAAAMBAAAPAAAAAAAAAAEAIAAAACIAAABkcnMvZG93bnJldi54bWxQSwECFAAUAAAACACH&#10;TuJA3cszcGECAAAzBQAADgAAAAAAAAABACAAAAAjAQAAZHJzL2Uyb0RvYy54bWxQSwUGAAAAAAYA&#10;BgBZAQAA9gUAAAAA&#10;">
                <o:lock v:ext="edit" rotation="t" aspectratio="f"/>
                <v:line id="_x0000_s1026" o:spid="_x0000_s1026" o:spt="20" style="position:absolute;left:0;top:0;height:0;width:9574;" filled="f" stroked="t" coordsize="21600,21600" o:gfxdata="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BSW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w10:wrap type="none"/>
                <w10:anchorlock/>
              </v:group>
            </w:pict>
          </mc:Fallback>
        </mc:AlternateContent>
      </w:r>
    </w:p>
    <w:p>
      <w:pPr>
        <w:pStyle w:val="8"/>
        <w:spacing w:before="12" w:after="21"/>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续表 6</w:t>
      </w:r>
    </w:p>
    <w:tbl>
      <w:tblPr>
        <w:tblStyle w:val="14"/>
        <w:tblW w:w="957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8"/>
        <w:gridCol w:w="852"/>
        <w:gridCol w:w="2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ind w:left="2506" w:right="250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2" w:type="dxa"/>
            <w:vAlign w:val="top"/>
          </w:tcPr>
          <w:p>
            <w:pPr>
              <w:pStyle w:val="24"/>
              <w:spacing w:before="12" w:line="208" w:lineRule="exact"/>
              <w:ind w:left="247"/>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943" w:type="dxa"/>
            <w:vAlign w:val="top"/>
          </w:tcPr>
          <w:p>
            <w:pPr>
              <w:pStyle w:val="24"/>
              <w:spacing w:before="12" w:line="208" w:lineRule="exact"/>
              <w:ind w:left="1093" w:right="107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一眼盲目 </w:t>
            </w: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852" w:type="dxa"/>
            <w:vAlign w:val="top"/>
          </w:tcPr>
          <w:p>
            <w:pPr>
              <w:pStyle w:val="24"/>
              <w:spacing w:before="12" w:line="208" w:lineRule="exact"/>
              <w:ind w:left="271"/>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b210.4Z1/2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778" w:type="dxa"/>
            <w:vAlign w:val="top"/>
          </w:tcPr>
          <w:p>
            <w:pPr>
              <w:pStyle w:val="24"/>
              <w:spacing w:before="14" w:line="208" w:lineRule="exact"/>
              <w:rPr>
                <w:rFonts w:ascii="Times New Roman" w:hAns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一眼视野缺损，直径小于 </w:t>
            </w:r>
            <w:r>
              <w:rPr>
                <w:rFonts w:ascii="Times New Roman" w:hAnsi="Times New Roman" w:eastAsia="Times New Roman"/>
                <w:color w:val="000000" w:themeColor="text1"/>
                <w:sz w:val="18"/>
                <w:highlight w:val="none"/>
                <w14:textFill>
                  <w14:solidFill>
                    <w14:schemeClr w14:val="tx1"/>
                  </w14:solidFill>
                </w14:textFill>
              </w:rPr>
              <w:t>5°</w:t>
            </w:r>
          </w:p>
        </w:tc>
        <w:tc>
          <w:tcPr>
            <w:tcW w:w="852" w:type="dxa"/>
            <w:vAlign w:val="top"/>
          </w:tcPr>
          <w:p>
            <w:pPr>
              <w:pStyle w:val="24"/>
              <w:spacing w:before="14" w:line="208" w:lineRule="exact"/>
              <w:ind w:left="271"/>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943" w:type="dxa"/>
            <w:vAlign w:val="top"/>
          </w:tcPr>
          <w:p>
            <w:pPr>
              <w:pStyle w:val="24"/>
              <w:spacing w:before="26"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b2101.4Z1/2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一眼盲目大于等于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852" w:type="dxa"/>
            <w:vAlign w:val="top"/>
          </w:tcPr>
          <w:p>
            <w:pPr>
              <w:pStyle w:val="24"/>
              <w:spacing w:before="12" w:line="208" w:lineRule="exact"/>
              <w:ind w:left="271"/>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rPr>
                <w:rFonts w:ascii="Times New Roman" w:hAns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一眼视野缺损，直径小于 </w:t>
            </w:r>
            <w:r>
              <w:rPr>
                <w:rFonts w:ascii="Times New Roman" w:hAnsi="Times New Roman" w:eastAsia="Times New Roman"/>
                <w:color w:val="000000" w:themeColor="text1"/>
                <w:sz w:val="18"/>
                <w:highlight w:val="none"/>
                <w14:textFill>
                  <w14:solidFill>
                    <w14:schemeClr w14:val="tx1"/>
                  </w14:solidFill>
                </w14:textFill>
              </w:rPr>
              <w:t>10°</w:t>
            </w:r>
          </w:p>
        </w:tc>
        <w:tc>
          <w:tcPr>
            <w:tcW w:w="852" w:type="dxa"/>
            <w:vAlign w:val="top"/>
          </w:tcPr>
          <w:p>
            <w:pPr>
              <w:pStyle w:val="24"/>
              <w:spacing w:before="12" w:line="208" w:lineRule="exact"/>
              <w:ind w:left="271"/>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b2101.41/2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一眼盲目大于等于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852" w:type="dxa"/>
            <w:vAlign w:val="top"/>
          </w:tcPr>
          <w:p>
            <w:pPr>
              <w:pStyle w:val="24"/>
              <w:spacing w:line="208" w:lineRule="exact"/>
              <w:ind w:left="271"/>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rPr>
                <w:rFonts w:ascii="Times New Roman" w:hAns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一眼视野缺损，直径小于 </w:t>
            </w:r>
            <w:r>
              <w:rPr>
                <w:rFonts w:ascii="Times New Roman" w:hAnsi="Times New Roman" w:eastAsia="Times New Roman"/>
                <w:color w:val="000000" w:themeColor="text1"/>
                <w:sz w:val="18"/>
                <w:highlight w:val="none"/>
                <w14:textFill>
                  <w14:solidFill>
                    <w14:schemeClr w14:val="tx1"/>
                  </w14:solidFill>
                </w14:textFill>
              </w:rPr>
              <w:t>20°</w:t>
            </w:r>
          </w:p>
        </w:tc>
        <w:tc>
          <w:tcPr>
            <w:tcW w:w="852" w:type="dxa"/>
            <w:vAlign w:val="top"/>
          </w:tcPr>
          <w:p>
            <w:pPr>
              <w:pStyle w:val="24"/>
              <w:spacing w:before="12" w:line="208" w:lineRule="exact"/>
              <w:ind w:left="271"/>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b2101.31/2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一眼低视力大于等于 </w:t>
            </w: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852" w:type="dxa"/>
            <w:vAlign w:val="top"/>
          </w:tcPr>
          <w:p>
            <w:pPr>
              <w:pStyle w:val="24"/>
              <w:spacing w:before="12" w:line="208" w:lineRule="exact"/>
              <w:ind w:left="225"/>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b210.1X1/2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778" w:type="dxa"/>
            <w:vAlign w:val="top"/>
          </w:tcPr>
          <w:p>
            <w:pPr>
              <w:pStyle w:val="24"/>
              <w:spacing w:before="14" w:line="208" w:lineRule="exact"/>
              <w:rPr>
                <w:rFonts w:ascii="Times New Roman" w:hAns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一眼视野缺损，直径小于 </w:t>
            </w:r>
            <w:r>
              <w:rPr>
                <w:rFonts w:ascii="Times New Roman" w:hAnsi="Times New Roman" w:eastAsia="Times New Roman"/>
                <w:color w:val="000000" w:themeColor="text1"/>
                <w:sz w:val="18"/>
                <w:highlight w:val="none"/>
                <w14:textFill>
                  <w14:solidFill>
                    <w14:schemeClr w14:val="tx1"/>
                  </w14:solidFill>
                </w14:textFill>
              </w:rPr>
              <w:t>60°</w:t>
            </w:r>
          </w:p>
        </w:tc>
        <w:tc>
          <w:tcPr>
            <w:tcW w:w="852" w:type="dxa"/>
            <w:vAlign w:val="top"/>
          </w:tcPr>
          <w:p>
            <w:pPr>
              <w:pStyle w:val="24"/>
              <w:spacing w:before="14" w:line="208" w:lineRule="exact"/>
              <w:ind w:left="225"/>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943" w:type="dxa"/>
            <w:vAlign w:val="top"/>
          </w:tcPr>
          <w:p>
            <w:pPr>
              <w:pStyle w:val="24"/>
              <w:spacing w:before="26"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b2101.21/2</w:t>
            </w:r>
          </w:p>
        </w:tc>
      </w:tr>
    </w:tbl>
    <w:p>
      <w:pPr>
        <w:pStyle w:val="20"/>
        <w:numPr>
          <w:ilvl w:val="2"/>
          <w:numId w:val="13"/>
        </w:numPr>
        <w:tabs>
          <w:tab w:val="left" w:pos="739"/>
        </w:tabs>
        <w:autoSpaceDE w:val="0"/>
        <w:autoSpaceDN w:val="0"/>
        <w:spacing w:before="178" w:after="0"/>
        <w:ind w:left="738" w:hanging="526"/>
        <w:jc w:val="left"/>
        <w:rPr>
          <w:rFonts w:eastAsia="Times New Roman"/>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眼球的晶状体结构损伤</w:t>
      </w:r>
    </w:p>
    <w:p>
      <w:pPr>
        <w:pStyle w:val="8"/>
        <w:spacing w:before="8"/>
        <w:rPr>
          <w:rFonts w:ascii="黑体"/>
          <w:color w:val="000000" w:themeColor="text1"/>
          <w:sz w:val="15"/>
          <w:highlight w:val="none"/>
          <w14:textFill>
            <w14:solidFill>
              <w14:schemeClr w14:val="tx1"/>
            </w14:solidFill>
          </w14:textFill>
        </w:rPr>
      </w:pPr>
    </w:p>
    <w:p>
      <w:pPr>
        <w:pStyle w:val="8"/>
        <w:spacing w:after="20"/>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表7</w:t>
      </w:r>
    </w:p>
    <w:tbl>
      <w:tblPr>
        <w:tblStyle w:val="14"/>
        <w:tblW w:w="957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8"/>
        <w:gridCol w:w="852"/>
        <w:gridCol w:w="2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78" w:type="dxa"/>
            <w:vAlign w:val="top"/>
          </w:tcPr>
          <w:p>
            <w:pPr>
              <w:pStyle w:val="24"/>
              <w:spacing w:before="12" w:line="208" w:lineRule="exact"/>
              <w:ind w:left="2506" w:right="250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2" w:type="dxa"/>
            <w:vAlign w:val="top"/>
          </w:tcPr>
          <w:p>
            <w:pPr>
              <w:pStyle w:val="24"/>
              <w:spacing w:before="12" w:line="208" w:lineRule="exact"/>
              <w:ind w:left="202" w:right="19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943" w:type="dxa"/>
            <w:vAlign w:val="top"/>
          </w:tcPr>
          <w:p>
            <w:pPr>
              <w:pStyle w:val="24"/>
              <w:spacing w:before="12" w:line="208" w:lineRule="exact"/>
              <w:ind w:left="1093" w:right="107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5778"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外伤性白内障</w:t>
            </w:r>
          </w:p>
        </w:tc>
        <w:tc>
          <w:tcPr>
            <w:tcW w:w="852" w:type="dxa"/>
            <w:vAlign w:val="top"/>
          </w:tcPr>
          <w:p>
            <w:pPr>
              <w:pStyle w:val="24"/>
              <w:spacing w:line="208" w:lineRule="exact"/>
              <w:ind w:left="207" w:right="190"/>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10</w:t>
            </w:r>
            <w:r>
              <w:rPr>
                <w:rFonts w:hint="eastAsia" w:ascii="Times New Roman"/>
                <w:color w:val="000000" w:themeColor="text1"/>
                <w:sz w:val="18"/>
                <w:highlight w:val="none"/>
                <w:lang w:val="en-US" w:eastAsia="zh-CN"/>
                <w14:textFill>
                  <w14:solidFill>
                    <w14:schemeClr w14:val="tx1"/>
                  </w14:solidFill>
                </w14:textFill>
              </w:rPr>
              <w:t xml:space="preserve">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s2204.188;b210.1</w:t>
            </w:r>
          </w:p>
        </w:tc>
      </w:tr>
    </w:tbl>
    <w:p>
      <w:pPr>
        <w:spacing w:before="38" w:line="324" w:lineRule="auto"/>
        <w:ind w:left="212" w:right="89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表注：外伤性白内障：凡未做手术者，均适用本条；外伤性白内障术后遗留相关视功能障碍，参照有关条款评定伤残等级。</w:t>
      </w:r>
    </w:p>
    <w:p>
      <w:pPr>
        <w:pStyle w:val="20"/>
        <w:numPr>
          <w:ilvl w:val="2"/>
          <w:numId w:val="13"/>
        </w:numPr>
        <w:tabs>
          <w:tab w:val="left" w:pos="739"/>
        </w:tabs>
        <w:autoSpaceDE w:val="0"/>
        <w:autoSpaceDN w:val="0"/>
        <w:spacing w:before="142" w:after="0"/>
        <w:ind w:left="738" w:hanging="526"/>
        <w:jc w:val="left"/>
        <w:rPr>
          <w:rFonts w:eastAsia="Times New Roman"/>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眼睑结构损伤</w:t>
      </w:r>
    </w:p>
    <w:p>
      <w:pPr>
        <w:pStyle w:val="8"/>
        <w:spacing w:before="6"/>
        <w:rPr>
          <w:rFonts w:ascii="黑体"/>
          <w:color w:val="000000" w:themeColor="text1"/>
          <w:sz w:val="15"/>
          <w:highlight w:val="none"/>
          <w14:textFill>
            <w14:solidFill>
              <w14:schemeClr w14:val="tx1"/>
            </w14:solidFill>
          </w14:textFill>
        </w:rPr>
      </w:pPr>
    </w:p>
    <w:p>
      <w:pPr>
        <w:pStyle w:val="8"/>
        <w:spacing w:before="1" w:after="20"/>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表8</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6064" w:type="dxa"/>
            <w:vAlign w:val="top"/>
          </w:tcPr>
          <w:p>
            <w:pPr>
              <w:pStyle w:val="24"/>
              <w:spacing w:line="208" w:lineRule="exact"/>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line="208" w:lineRule="exact"/>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4"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双侧眼睑外翻</w:t>
            </w:r>
          </w:p>
        </w:tc>
        <w:tc>
          <w:tcPr>
            <w:tcW w:w="850" w:type="dxa"/>
            <w:vAlign w:val="top"/>
          </w:tcPr>
          <w:p>
            <w:pPr>
              <w:pStyle w:val="24"/>
              <w:spacing w:before="14"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s2301.863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双侧眼睑闭合不全</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s2301.853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双侧眼睑显著缺损</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s2301.323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一侧眼睑显著缺损</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4"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s2301.321/2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一侧眼睑外翻</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s2301.861/2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4" w:type="dxa"/>
            <w:vAlign w:val="top"/>
          </w:tcPr>
          <w:p>
            <w:pPr>
              <w:pStyle w:val="24"/>
              <w:spacing w:line="210"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一侧眼睑闭合不全</w:t>
            </w:r>
          </w:p>
        </w:tc>
        <w:tc>
          <w:tcPr>
            <w:tcW w:w="850" w:type="dxa"/>
            <w:vAlign w:val="top"/>
          </w:tcPr>
          <w:p>
            <w:pPr>
              <w:pStyle w:val="24"/>
              <w:spacing w:line="210"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8"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s2301.851/2</w:t>
            </w:r>
          </w:p>
        </w:tc>
      </w:tr>
    </w:tbl>
    <w:p>
      <w:pPr>
        <w:spacing w:before="38"/>
        <w:ind w:left="21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表注：眼睑显著缺损指闭眼时眼睑不能完全覆盖角膜。</w:t>
      </w:r>
    </w:p>
    <w:p>
      <w:pPr>
        <w:pStyle w:val="8"/>
        <w:spacing w:before="4"/>
        <w:rPr>
          <w:color w:val="000000" w:themeColor="text1"/>
          <w:sz w:val="17"/>
          <w:highlight w:val="none"/>
          <w14:textFill>
            <w14:solidFill>
              <w14:schemeClr w14:val="tx1"/>
            </w14:solidFill>
          </w14:textFill>
        </w:rPr>
      </w:pPr>
    </w:p>
    <w:p>
      <w:pPr>
        <w:pStyle w:val="20"/>
        <w:numPr>
          <w:ilvl w:val="2"/>
          <w:numId w:val="13"/>
        </w:numPr>
        <w:tabs>
          <w:tab w:val="left" w:pos="739"/>
        </w:tabs>
        <w:autoSpaceDE w:val="0"/>
        <w:autoSpaceDN w:val="0"/>
        <w:spacing w:after="0"/>
        <w:ind w:left="738" w:hanging="526"/>
        <w:jc w:val="left"/>
        <w:rPr>
          <w:rFonts w:eastAsia="Times New Roman"/>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耳廓结构损伤或听功能障碍</w:t>
      </w:r>
    </w:p>
    <w:p>
      <w:pPr>
        <w:pStyle w:val="8"/>
        <w:spacing w:before="7"/>
        <w:rPr>
          <w:rFonts w:ascii="黑体"/>
          <w:color w:val="000000" w:themeColor="text1"/>
          <w:sz w:val="15"/>
          <w:highlight w:val="none"/>
          <w14:textFill>
            <w14:solidFill>
              <w14:schemeClr w14:val="tx1"/>
            </w14:solidFill>
          </w14:textFill>
        </w:rPr>
      </w:pPr>
    </w:p>
    <w:p>
      <w:pPr>
        <w:pStyle w:val="8"/>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听功能是指与感受存在的声音和辨别方位、音调、音量和音质有关的感觉功能。</w:t>
      </w:r>
    </w:p>
    <w:p>
      <w:pPr>
        <w:pStyle w:val="8"/>
        <w:spacing w:before="43" w:after="20"/>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9</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双耳听力损失大于等于 </w:t>
            </w:r>
            <w:r>
              <w:rPr>
                <w:rFonts w:ascii="Times New Roman" w:eastAsia="Times New Roman"/>
                <w:color w:val="000000" w:themeColor="text1"/>
                <w:sz w:val="18"/>
                <w:highlight w:val="none"/>
                <w14:textFill>
                  <w14:solidFill>
                    <w14:schemeClr w14:val="tx1"/>
                  </w14:solidFill>
                </w14:textFill>
              </w:rPr>
              <w:t>91dB</w:t>
            </w:r>
            <w:r>
              <w:rPr>
                <w:color w:val="000000" w:themeColor="text1"/>
                <w:sz w:val="18"/>
                <w:highlight w:val="none"/>
                <w14:textFill>
                  <w14:solidFill>
                    <w14:schemeClr w14:val="tx1"/>
                  </w14:solidFill>
                </w14:textFill>
              </w:rPr>
              <w:t>，且双侧耳廓缺失</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b230.43, s240.413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双耳听力损失大于等于 </w:t>
            </w:r>
            <w:r>
              <w:rPr>
                <w:rFonts w:ascii="Times New Roman" w:eastAsia="Times New Roman"/>
                <w:color w:val="000000" w:themeColor="text1"/>
                <w:sz w:val="18"/>
                <w:highlight w:val="none"/>
                <w14:textFill>
                  <w14:solidFill>
                    <w14:schemeClr w14:val="tx1"/>
                  </w14:solidFill>
                </w14:textFill>
              </w:rPr>
              <w:t>71dB</w:t>
            </w:r>
            <w:r>
              <w:rPr>
                <w:color w:val="000000" w:themeColor="text1"/>
                <w:sz w:val="18"/>
                <w:highlight w:val="none"/>
                <w14:textFill>
                  <w14:solidFill>
                    <w14:schemeClr w14:val="tx1"/>
                  </w14:solidFill>
                </w14:textFill>
              </w:rPr>
              <w:t>，且双侧耳廓缺失</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b230.33, s240.413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双耳听力损失大于等于 </w:t>
            </w:r>
            <w:r>
              <w:rPr>
                <w:rFonts w:ascii="Times New Roman" w:eastAsia="Times New Roman"/>
                <w:color w:val="000000" w:themeColor="text1"/>
                <w:sz w:val="18"/>
                <w:highlight w:val="none"/>
                <w14:textFill>
                  <w14:solidFill>
                    <w14:schemeClr w14:val="tx1"/>
                  </w14:solidFill>
                </w14:textFill>
              </w:rPr>
              <w:t>91dB</w:t>
            </w:r>
            <w:r>
              <w:rPr>
                <w:color w:val="000000" w:themeColor="text1"/>
                <w:sz w:val="18"/>
                <w:highlight w:val="none"/>
                <w14:textFill>
                  <w14:solidFill>
                    <w14:schemeClr w14:val="tx1"/>
                  </w14:solidFill>
                </w14:textFill>
              </w:rPr>
              <w:t>，且一侧耳廓缺失</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b230.43, s240.411/2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64" w:type="dxa"/>
            <w:vAlign w:val="top"/>
          </w:tcPr>
          <w:p>
            <w:pPr>
              <w:pStyle w:val="24"/>
              <w:spacing w:before="2" w:line="240" w:lineRule="atLeast"/>
              <w:ind w:right="96"/>
              <w:rPr>
                <w:rFonts w:ascii="Times New Roman" w:eastAsia="Times New Roman"/>
                <w:color w:val="000000" w:themeColor="text1"/>
                <w:sz w:val="18"/>
                <w:highlight w:val="none"/>
                <w14:textFill>
                  <w14:solidFill>
                    <w14:schemeClr w14:val="tx1"/>
                  </w14:solidFill>
                </w14:textFill>
              </w:rPr>
            </w:pPr>
            <w:r>
              <w:rPr>
                <w:color w:val="000000" w:themeColor="text1"/>
                <w:spacing w:val="-4"/>
                <w:sz w:val="18"/>
                <w:highlight w:val="none"/>
                <w14:textFill>
                  <w14:solidFill>
                    <w14:schemeClr w14:val="tx1"/>
                  </w14:solidFill>
                </w14:textFill>
              </w:rPr>
              <w:t xml:space="preserve">一耳听力损失大于等于 </w:t>
            </w:r>
            <w:r>
              <w:rPr>
                <w:rFonts w:ascii="Times New Roman" w:eastAsia="Times New Roman"/>
                <w:color w:val="000000" w:themeColor="text1"/>
                <w:spacing w:val="-7"/>
                <w:sz w:val="18"/>
                <w:highlight w:val="none"/>
                <w14:textFill>
                  <w14:solidFill>
                    <w14:schemeClr w14:val="tx1"/>
                  </w14:solidFill>
                </w14:textFill>
              </w:rPr>
              <w:t>91dB</w:t>
            </w:r>
            <w:r>
              <w:rPr>
                <w:color w:val="000000" w:themeColor="text1"/>
                <w:spacing w:val="-7"/>
                <w:sz w:val="18"/>
                <w:highlight w:val="none"/>
                <w14:textFill>
                  <w14:solidFill>
                    <w14:schemeClr w14:val="tx1"/>
                  </w14:solidFill>
                </w14:textFill>
              </w:rPr>
              <w:t xml:space="preserve">，另一耳听力损失大于等于 </w:t>
            </w:r>
            <w:r>
              <w:rPr>
                <w:rFonts w:ascii="Times New Roman" w:eastAsia="Times New Roman"/>
                <w:color w:val="000000" w:themeColor="text1"/>
                <w:spacing w:val="-7"/>
                <w:sz w:val="18"/>
                <w:highlight w:val="none"/>
                <w14:textFill>
                  <w14:solidFill>
                    <w14:schemeClr w14:val="tx1"/>
                  </w14:solidFill>
                </w14:textFill>
              </w:rPr>
              <w:t>71dB</w:t>
            </w:r>
            <w:r>
              <w:rPr>
                <w:color w:val="000000" w:themeColor="text1"/>
                <w:spacing w:val="-5"/>
                <w:sz w:val="18"/>
                <w:highlight w:val="none"/>
                <w14:textFill>
                  <w14:solidFill>
                    <w14:schemeClr w14:val="tx1"/>
                  </w14:solidFill>
                </w14:textFill>
              </w:rPr>
              <w:t>，且一侧耳廓</w:t>
            </w:r>
            <w:r>
              <w:rPr>
                <w:color w:val="000000" w:themeColor="text1"/>
                <w:spacing w:val="-3"/>
                <w:sz w:val="18"/>
                <w:highlight w:val="none"/>
                <w14:textFill>
                  <w14:solidFill>
                    <w14:schemeClr w14:val="tx1"/>
                  </w14:solidFill>
                </w14:textFill>
              </w:rPr>
              <w:t xml:space="preserve">缺失，另一侧耳廓缺失大于等于 </w:t>
            </w:r>
            <w:r>
              <w:rPr>
                <w:rFonts w:ascii="Times New Roman" w:eastAsia="Times New Roman"/>
                <w:color w:val="000000" w:themeColor="text1"/>
                <w:sz w:val="18"/>
                <w:highlight w:val="none"/>
                <w14:textFill>
                  <w14:solidFill>
                    <w14:schemeClr w14:val="tx1"/>
                  </w14:solidFill>
                </w14:textFill>
              </w:rPr>
              <w:t>50%</w:t>
            </w:r>
          </w:p>
        </w:tc>
        <w:tc>
          <w:tcPr>
            <w:tcW w:w="850" w:type="dxa"/>
            <w:vAlign w:val="top"/>
          </w:tcPr>
          <w:p>
            <w:pPr>
              <w:pStyle w:val="24"/>
              <w:spacing w:before="132"/>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b230.41/2, b230.32/1,</w:t>
            </w:r>
          </w:p>
          <w:p>
            <w:pPr>
              <w:pStyle w:val="24"/>
              <w:spacing w:before="34"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s240.411/2, s240.321/2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双耳听力损失大于等于 </w:t>
            </w:r>
            <w:r>
              <w:rPr>
                <w:rFonts w:ascii="Times New Roman" w:eastAsia="Times New Roman"/>
                <w:color w:val="000000" w:themeColor="text1"/>
                <w:sz w:val="18"/>
                <w:highlight w:val="none"/>
                <w14:textFill>
                  <w14:solidFill>
                    <w14:schemeClr w14:val="tx1"/>
                  </w14:solidFill>
                </w14:textFill>
              </w:rPr>
              <w:t>56dB</w:t>
            </w:r>
            <w:r>
              <w:rPr>
                <w:color w:val="000000" w:themeColor="text1"/>
                <w:sz w:val="18"/>
                <w:highlight w:val="none"/>
                <w14:textFill>
                  <w14:solidFill>
                    <w14:schemeClr w14:val="tx1"/>
                  </w14:solidFill>
                </w14:textFill>
              </w:rPr>
              <w:t>，且双侧耳廓缺失</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4"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b230.2Z3, s240.413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双耳听力损失大于等于 </w:t>
            </w:r>
            <w:r>
              <w:rPr>
                <w:rFonts w:ascii="Times New Roman" w:eastAsia="Times New Roman"/>
                <w:color w:val="000000" w:themeColor="text1"/>
                <w:sz w:val="18"/>
                <w:highlight w:val="none"/>
                <w14:textFill>
                  <w14:solidFill>
                    <w14:schemeClr w14:val="tx1"/>
                  </w14:solidFill>
                </w14:textFill>
              </w:rPr>
              <w:t>71dB</w:t>
            </w:r>
            <w:r>
              <w:rPr>
                <w:color w:val="000000" w:themeColor="text1"/>
                <w:sz w:val="18"/>
                <w:highlight w:val="none"/>
                <w14:textFill>
                  <w14:solidFill>
                    <w14:schemeClr w14:val="tx1"/>
                  </w14:solidFill>
                </w14:textFill>
              </w:rPr>
              <w:t>，且一侧耳廓缺失</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b230.33, s240.411/2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2" w:line="240" w:lineRule="atLeast"/>
              <w:ind w:right="96"/>
              <w:rPr>
                <w:rFonts w:ascii="Times New Roman" w:eastAsia="Times New Roman"/>
                <w:color w:val="000000" w:themeColor="text1"/>
                <w:sz w:val="18"/>
                <w:highlight w:val="none"/>
                <w14:textFill>
                  <w14:solidFill>
                    <w14:schemeClr w14:val="tx1"/>
                  </w14:solidFill>
                </w14:textFill>
              </w:rPr>
            </w:pPr>
            <w:r>
              <w:rPr>
                <w:color w:val="000000" w:themeColor="text1"/>
                <w:spacing w:val="-4"/>
                <w:sz w:val="18"/>
                <w:highlight w:val="none"/>
                <w14:textFill>
                  <w14:solidFill>
                    <w14:schemeClr w14:val="tx1"/>
                  </w14:solidFill>
                </w14:textFill>
              </w:rPr>
              <w:t xml:space="preserve">一耳听力损失大于等于 </w:t>
            </w:r>
            <w:r>
              <w:rPr>
                <w:rFonts w:ascii="Times New Roman" w:eastAsia="Times New Roman"/>
                <w:color w:val="000000" w:themeColor="text1"/>
                <w:spacing w:val="-7"/>
                <w:sz w:val="18"/>
                <w:highlight w:val="none"/>
                <w14:textFill>
                  <w14:solidFill>
                    <w14:schemeClr w14:val="tx1"/>
                  </w14:solidFill>
                </w14:textFill>
              </w:rPr>
              <w:t>91dB</w:t>
            </w:r>
            <w:r>
              <w:rPr>
                <w:color w:val="000000" w:themeColor="text1"/>
                <w:spacing w:val="-7"/>
                <w:sz w:val="18"/>
                <w:highlight w:val="none"/>
                <w14:textFill>
                  <w14:solidFill>
                    <w14:schemeClr w14:val="tx1"/>
                  </w14:solidFill>
                </w14:textFill>
              </w:rPr>
              <w:t xml:space="preserve">，另一耳听力损失大于等于 </w:t>
            </w:r>
            <w:r>
              <w:rPr>
                <w:rFonts w:ascii="Times New Roman" w:eastAsia="Times New Roman"/>
                <w:color w:val="000000" w:themeColor="text1"/>
                <w:spacing w:val="-7"/>
                <w:sz w:val="18"/>
                <w:highlight w:val="none"/>
                <w14:textFill>
                  <w14:solidFill>
                    <w14:schemeClr w14:val="tx1"/>
                  </w14:solidFill>
                </w14:textFill>
              </w:rPr>
              <w:t>71dB</w:t>
            </w:r>
            <w:r>
              <w:rPr>
                <w:color w:val="000000" w:themeColor="text1"/>
                <w:spacing w:val="-5"/>
                <w:sz w:val="18"/>
                <w:highlight w:val="none"/>
                <w14:textFill>
                  <w14:solidFill>
                    <w14:schemeClr w14:val="tx1"/>
                  </w14:solidFill>
                </w14:textFill>
              </w:rPr>
              <w:t>，且一侧耳廓</w:t>
            </w:r>
            <w:r>
              <w:rPr>
                <w:color w:val="000000" w:themeColor="text1"/>
                <w:spacing w:val="-7"/>
                <w:sz w:val="18"/>
                <w:highlight w:val="none"/>
                <w14:textFill>
                  <w14:solidFill>
                    <w14:schemeClr w14:val="tx1"/>
                  </w14:solidFill>
                </w14:textFill>
              </w:rPr>
              <w:t xml:space="preserve">缺失大于等于 </w:t>
            </w:r>
            <w:r>
              <w:rPr>
                <w:rFonts w:ascii="Times New Roman" w:eastAsia="Times New Roman"/>
                <w:color w:val="000000" w:themeColor="text1"/>
                <w:sz w:val="18"/>
                <w:highlight w:val="none"/>
                <w14:textFill>
                  <w14:solidFill>
                    <w14:schemeClr w14:val="tx1"/>
                  </w14:solidFill>
                </w14:textFill>
              </w:rPr>
              <w:t>50%</w:t>
            </w:r>
          </w:p>
        </w:tc>
        <w:tc>
          <w:tcPr>
            <w:tcW w:w="850" w:type="dxa"/>
            <w:vAlign w:val="top"/>
          </w:tcPr>
          <w:p>
            <w:pPr>
              <w:pStyle w:val="24"/>
              <w:spacing w:before="131"/>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143"/>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b230.41/2, b230.32/1, s240.321/2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064" w:type="dxa"/>
            <w:vAlign w:val="top"/>
          </w:tcPr>
          <w:p>
            <w:pPr>
              <w:pStyle w:val="24"/>
              <w:spacing w:before="9"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双耳听力损失大于等于 </w:t>
            </w:r>
            <w:r>
              <w:rPr>
                <w:rFonts w:ascii="Times New Roman" w:eastAsia="Times New Roman"/>
                <w:color w:val="000000" w:themeColor="text1"/>
                <w:sz w:val="18"/>
                <w:highlight w:val="none"/>
                <w14:textFill>
                  <w14:solidFill>
                    <w14:schemeClr w14:val="tx1"/>
                  </w14:solidFill>
                </w14:textFill>
              </w:rPr>
              <w:t>71dB</w:t>
            </w:r>
            <w:r>
              <w:rPr>
                <w:color w:val="000000" w:themeColor="text1"/>
                <w:sz w:val="18"/>
                <w:highlight w:val="none"/>
                <w14:textFill>
                  <w14:solidFill>
                    <w14:schemeClr w14:val="tx1"/>
                  </w14:solidFill>
                </w14:textFill>
              </w:rPr>
              <w:t xml:space="preserve">，且一侧耳廓缺失大于等于 </w:t>
            </w:r>
            <w:r>
              <w:rPr>
                <w:rFonts w:ascii="Times New Roman" w:eastAsia="Times New Roman"/>
                <w:color w:val="000000" w:themeColor="text1"/>
                <w:sz w:val="18"/>
                <w:highlight w:val="none"/>
                <w14:textFill>
                  <w14:solidFill>
                    <w14:schemeClr w14:val="tx1"/>
                  </w14:solidFill>
                </w14:textFill>
              </w:rPr>
              <w:t>50%</w:t>
            </w:r>
          </w:p>
        </w:tc>
        <w:tc>
          <w:tcPr>
            <w:tcW w:w="850" w:type="dxa"/>
            <w:vAlign w:val="top"/>
          </w:tcPr>
          <w:p>
            <w:pPr>
              <w:pStyle w:val="24"/>
              <w:spacing w:before="9"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1"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b230.33, s240.321/2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双耳听力损失大于等于 </w:t>
            </w:r>
            <w:r>
              <w:rPr>
                <w:rFonts w:ascii="Times New Roman" w:eastAsia="Times New Roman"/>
                <w:color w:val="000000" w:themeColor="text1"/>
                <w:sz w:val="18"/>
                <w:highlight w:val="none"/>
                <w14:textFill>
                  <w14:solidFill>
                    <w14:schemeClr w14:val="tx1"/>
                  </w14:solidFill>
                </w14:textFill>
              </w:rPr>
              <w:t>56dB</w:t>
            </w:r>
            <w:r>
              <w:rPr>
                <w:color w:val="000000" w:themeColor="text1"/>
                <w:sz w:val="18"/>
                <w:highlight w:val="none"/>
                <w14:textFill>
                  <w14:solidFill>
                    <w14:schemeClr w14:val="tx1"/>
                  </w14:solidFill>
                </w14:textFill>
              </w:rPr>
              <w:t>，且一侧耳廓缺失</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b230.2Z3, s240.411/2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双侧耳廓缺失</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s240.413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4" w:type="dxa"/>
            <w:vAlign w:val="top"/>
          </w:tcPr>
          <w:p>
            <w:pPr>
              <w:pStyle w:val="24"/>
              <w:spacing w:before="14"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一侧耳廓缺失，且另一侧耳廓缺失大于等于 </w:t>
            </w:r>
            <w:r>
              <w:rPr>
                <w:rFonts w:ascii="Times New Roman" w:eastAsia="Times New Roman"/>
                <w:color w:val="000000" w:themeColor="text1"/>
                <w:sz w:val="18"/>
                <w:highlight w:val="none"/>
                <w14:textFill>
                  <w14:solidFill>
                    <w14:schemeClr w14:val="tx1"/>
                  </w14:solidFill>
                </w14:textFill>
              </w:rPr>
              <w:t>50%</w:t>
            </w:r>
          </w:p>
        </w:tc>
        <w:tc>
          <w:tcPr>
            <w:tcW w:w="850" w:type="dxa"/>
            <w:vAlign w:val="top"/>
          </w:tcPr>
          <w:p>
            <w:pPr>
              <w:pStyle w:val="24"/>
              <w:spacing w:before="14"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s240.411/2, s240.322/1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一侧耳廓缺失</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s240.411/2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一侧耳廓缺失大于等于 </w:t>
            </w:r>
            <w:r>
              <w:rPr>
                <w:rFonts w:ascii="Times New Roman" w:eastAsia="Times New Roman"/>
                <w:color w:val="000000" w:themeColor="text1"/>
                <w:sz w:val="18"/>
                <w:highlight w:val="none"/>
                <w14:textFill>
                  <w14:solidFill>
                    <w14:schemeClr w14:val="tx1"/>
                  </w14:solidFill>
                </w14:textFill>
              </w:rPr>
              <w:t>50%</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s240.321/2</w:t>
            </w:r>
          </w:p>
        </w:tc>
      </w:tr>
    </w:tbl>
    <w:p>
      <w:pPr>
        <w:pStyle w:val="20"/>
        <w:numPr>
          <w:ilvl w:val="2"/>
          <w:numId w:val="13"/>
        </w:numPr>
        <w:tabs>
          <w:tab w:val="left" w:pos="845"/>
        </w:tabs>
        <w:autoSpaceDE w:val="0"/>
        <w:autoSpaceDN w:val="0"/>
        <w:spacing w:before="178" w:after="0"/>
        <w:ind w:left="844" w:hanging="632"/>
        <w:jc w:val="left"/>
        <w:rPr>
          <w:color w:val="000000" w:themeColor="text1"/>
          <w:highlight w:val="none"/>
          <w14:textFill>
            <w14:solidFill>
              <w14:schemeClr w14:val="tx1"/>
            </w14:solidFill>
          </w14:textFill>
        </w:rPr>
        <w:sectPr>
          <w:pgSz w:w="11910" w:h="16840"/>
          <w:pgMar w:top="1660" w:right="700" w:bottom="1340" w:left="920" w:header="1441" w:footer="1140" w:gutter="0"/>
          <w:cols w:space="720" w:num="1"/>
        </w:sectPr>
      </w:pPr>
      <w:r>
        <w:rPr>
          <w:color w:val="000000" w:themeColor="text1"/>
          <w:spacing w:val="-3"/>
          <w:highlight w:val="none"/>
          <w14:textFill>
            <w14:solidFill>
              <w14:schemeClr w14:val="tx1"/>
            </w14:solidFill>
          </w14:textFill>
        </w:rPr>
        <w:t>听功能障</w:t>
      </w:r>
    </w:p>
    <w:p>
      <w:pPr>
        <w:pStyle w:val="8"/>
        <w:spacing w:before="7"/>
        <w:rPr>
          <w:rFonts w:ascii="黑体"/>
          <w:color w:val="000000" w:themeColor="text1"/>
          <w:sz w:val="14"/>
          <w:highlight w:val="none"/>
          <w14:textFill>
            <w14:solidFill>
              <w14:schemeClr w14:val="tx1"/>
            </w14:solidFill>
          </w14:textFill>
        </w:rPr>
      </w:pPr>
    </w:p>
    <w:p>
      <w:pPr>
        <w:pStyle w:val="8"/>
        <w:spacing w:before="72" w:after="20"/>
        <w:ind w:left="65" w:right="2"/>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表10</w:t>
      </w: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3"/>
        <w:gridCol w:w="84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3" w:type="dxa"/>
            <w:vAlign w:val="top"/>
          </w:tcPr>
          <w:p>
            <w:pPr>
              <w:pStyle w:val="24"/>
              <w:spacing w:before="14" w:line="208" w:lineRule="exact"/>
              <w:ind w:left="2651" w:right="264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49" w:type="dxa"/>
            <w:vAlign w:val="top"/>
          </w:tcPr>
          <w:p>
            <w:pPr>
              <w:pStyle w:val="24"/>
              <w:spacing w:before="14" w:line="208" w:lineRule="exact"/>
              <w:ind w:left="202" w:right="19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4" w:line="208" w:lineRule="exact"/>
              <w:ind w:left="949" w:right="93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3" w:type="dxa"/>
            <w:vAlign w:val="top"/>
          </w:tcPr>
          <w:p>
            <w:pPr>
              <w:pStyle w:val="24"/>
              <w:spacing w:before="14"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双耳听力损失大于等于 </w:t>
            </w:r>
            <w:r>
              <w:rPr>
                <w:rFonts w:ascii="Times New Roman" w:eastAsia="Times New Roman"/>
                <w:color w:val="000000" w:themeColor="text1"/>
                <w:sz w:val="18"/>
                <w:highlight w:val="none"/>
                <w14:textFill>
                  <w14:solidFill>
                    <w14:schemeClr w14:val="tx1"/>
                  </w14:solidFill>
                </w14:textFill>
              </w:rPr>
              <w:t>91dB</w:t>
            </w:r>
          </w:p>
        </w:tc>
        <w:tc>
          <w:tcPr>
            <w:tcW w:w="849" w:type="dxa"/>
            <w:vAlign w:val="top"/>
          </w:tcPr>
          <w:p>
            <w:pPr>
              <w:pStyle w:val="24"/>
              <w:spacing w:before="14"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双耳听力损失大于等于 </w:t>
            </w:r>
            <w:r>
              <w:rPr>
                <w:rFonts w:ascii="Times New Roman" w:eastAsia="Times New Roman"/>
                <w:color w:val="000000" w:themeColor="text1"/>
                <w:sz w:val="18"/>
                <w:highlight w:val="none"/>
                <w14:textFill>
                  <w14:solidFill>
                    <w14:schemeClr w14:val="tx1"/>
                  </w14:solidFill>
                </w14:textFill>
              </w:rPr>
              <w:t>81dB</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b230.3Z3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一耳听力损失大于等于 </w:t>
            </w:r>
            <w:r>
              <w:rPr>
                <w:rFonts w:ascii="Times New Roman" w:eastAsia="Times New Roman"/>
                <w:color w:val="000000" w:themeColor="text1"/>
                <w:sz w:val="18"/>
                <w:highlight w:val="none"/>
                <w14:textFill>
                  <w14:solidFill>
                    <w14:schemeClr w14:val="tx1"/>
                  </w14:solidFill>
                </w14:textFill>
              </w:rPr>
              <w:t>91dB</w:t>
            </w:r>
            <w:r>
              <w:rPr>
                <w:color w:val="000000" w:themeColor="text1"/>
                <w:sz w:val="18"/>
                <w:highlight w:val="none"/>
                <w14:textFill>
                  <w14:solidFill>
                    <w14:schemeClr w14:val="tx1"/>
                  </w14:solidFill>
                </w14:textFill>
              </w:rPr>
              <w:t xml:space="preserve">，且另一耳听力损失大于等于 </w:t>
            </w:r>
            <w:r>
              <w:rPr>
                <w:rFonts w:ascii="Times New Roman" w:eastAsia="Times New Roman"/>
                <w:color w:val="000000" w:themeColor="text1"/>
                <w:sz w:val="18"/>
                <w:highlight w:val="none"/>
                <w14:textFill>
                  <w14:solidFill>
                    <w14:schemeClr w14:val="tx1"/>
                  </w14:solidFill>
                </w14:textFill>
              </w:rPr>
              <w:t>71dB</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b230.41/2, b230.32/1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双耳听力损失大于等于 </w:t>
            </w:r>
            <w:r>
              <w:rPr>
                <w:rFonts w:ascii="Times New Roman" w:eastAsia="Times New Roman"/>
                <w:color w:val="000000" w:themeColor="text1"/>
                <w:sz w:val="18"/>
                <w:highlight w:val="none"/>
                <w14:textFill>
                  <w14:solidFill>
                    <w14:schemeClr w14:val="tx1"/>
                  </w14:solidFill>
                </w14:textFill>
              </w:rPr>
              <w:t>71dB</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3" w:type="dxa"/>
            <w:vAlign w:val="top"/>
          </w:tcPr>
          <w:p>
            <w:pPr>
              <w:pStyle w:val="24"/>
              <w:spacing w:before="14"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一耳听力损失大于等于 </w:t>
            </w:r>
            <w:r>
              <w:rPr>
                <w:rFonts w:ascii="Times New Roman" w:eastAsia="Times New Roman"/>
                <w:color w:val="000000" w:themeColor="text1"/>
                <w:sz w:val="18"/>
                <w:highlight w:val="none"/>
                <w14:textFill>
                  <w14:solidFill>
                    <w14:schemeClr w14:val="tx1"/>
                  </w14:solidFill>
                </w14:textFill>
              </w:rPr>
              <w:t>91dB</w:t>
            </w:r>
            <w:r>
              <w:rPr>
                <w:color w:val="000000" w:themeColor="text1"/>
                <w:sz w:val="18"/>
                <w:highlight w:val="none"/>
                <w14:textFill>
                  <w14:solidFill>
                    <w14:schemeClr w14:val="tx1"/>
                  </w14:solidFill>
                </w14:textFill>
              </w:rPr>
              <w:t xml:space="preserve">，且另一耳听力损失大于等于 </w:t>
            </w:r>
            <w:r>
              <w:rPr>
                <w:rFonts w:ascii="Times New Roman" w:eastAsia="Times New Roman"/>
                <w:color w:val="000000" w:themeColor="text1"/>
                <w:sz w:val="18"/>
                <w:highlight w:val="none"/>
                <w14:textFill>
                  <w14:solidFill>
                    <w14:schemeClr w14:val="tx1"/>
                  </w14:solidFill>
                </w14:textFill>
              </w:rPr>
              <w:t>56dB</w:t>
            </w:r>
          </w:p>
        </w:tc>
        <w:tc>
          <w:tcPr>
            <w:tcW w:w="849" w:type="dxa"/>
            <w:vAlign w:val="top"/>
          </w:tcPr>
          <w:p>
            <w:pPr>
              <w:pStyle w:val="24"/>
              <w:spacing w:before="14"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b230.41/2, b230.2Z2/1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一耳听力损失大于等于 </w:t>
            </w:r>
            <w:r>
              <w:rPr>
                <w:rFonts w:ascii="Times New Roman" w:eastAsia="Times New Roman"/>
                <w:color w:val="000000" w:themeColor="text1"/>
                <w:sz w:val="18"/>
                <w:highlight w:val="none"/>
                <w14:textFill>
                  <w14:solidFill>
                    <w14:schemeClr w14:val="tx1"/>
                  </w14:solidFill>
                </w14:textFill>
              </w:rPr>
              <w:t>91dB</w:t>
            </w:r>
            <w:r>
              <w:rPr>
                <w:color w:val="000000" w:themeColor="text1"/>
                <w:sz w:val="18"/>
                <w:highlight w:val="none"/>
                <w14:textFill>
                  <w14:solidFill>
                    <w14:schemeClr w14:val="tx1"/>
                  </w14:solidFill>
                </w14:textFill>
              </w:rPr>
              <w:t xml:space="preserve">，且另一耳听力损失大于等于 </w:t>
            </w:r>
            <w:r>
              <w:rPr>
                <w:rFonts w:ascii="Times New Roman" w:eastAsia="Times New Roman"/>
                <w:color w:val="000000" w:themeColor="text1"/>
                <w:sz w:val="18"/>
                <w:highlight w:val="none"/>
                <w14:textFill>
                  <w14:solidFill>
                    <w14:schemeClr w14:val="tx1"/>
                  </w14:solidFill>
                </w14:textFill>
              </w:rPr>
              <w:t>41dB</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b230.41/2, b230.22/1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一耳听力损失大于等于 </w:t>
            </w:r>
            <w:r>
              <w:rPr>
                <w:rFonts w:ascii="Times New Roman" w:eastAsia="Times New Roman"/>
                <w:color w:val="000000" w:themeColor="text1"/>
                <w:sz w:val="18"/>
                <w:highlight w:val="none"/>
                <w14:textFill>
                  <w14:solidFill>
                    <w14:schemeClr w14:val="tx1"/>
                  </w14:solidFill>
                </w14:textFill>
              </w:rPr>
              <w:t>71dB</w:t>
            </w:r>
            <w:r>
              <w:rPr>
                <w:color w:val="000000" w:themeColor="text1"/>
                <w:sz w:val="18"/>
                <w:highlight w:val="none"/>
                <w14:textFill>
                  <w14:solidFill>
                    <w14:schemeClr w14:val="tx1"/>
                  </w14:solidFill>
                </w14:textFill>
              </w:rPr>
              <w:t xml:space="preserve">，且另一耳听力损失大于等于 </w:t>
            </w:r>
            <w:r>
              <w:rPr>
                <w:rFonts w:ascii="Times New Roman" w:eastAsia="Times New Roman"/>
                <w:color w:val="000000" w:themeColor="text1"/>
                <w:sz w:val="18"/>
                <w:highlight w:val="none"/>
                <w14:textFill>
                  <w14:solidFill>
                    <w14:schemeClr w14:val="tx1"/>
                  </w14:solidFill>
                </w14:textFill>
              </w:rPr>
              <w:t>56dB</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b230.31/2, b230.2Z2/1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一耳听力损失大于等于 </w:t>
            </w:r>
            <w:r>
              <w:rPr>
                <w:rFonts w:ascii="Times New Roman" w:eastAsia="Times New Roman"/>
                <w:color w:val="000000" w:themeColor="text1"/>
                <w:sz w:val="18"/>
                <w:highlight w:val="none"/>
                <w14:textFill>
                  <w14:solidFill>
                    <w14:schemeClr w14:val="tx1"/>
                  </w14:solidFill>
                </w14:textFill>
              </w:rPr>
              <w:t>71dB</w:t>
            </w:r>
            <w:r>
              <w:rPr>
                <w:color w:val="000000" w:themeColor="text1"/>
                <w:sz w:val="18"/>
                <w:highlight w:val="none"/>
                <w14:textFill>
                  <w14:solidFill>
                    <w14:schemeClr w14:val="tx1"/>
                  </w14:solidFill>
                </w14:textFill>
              </w:rPr>
              <w:t xml:space="preserve">，且另一耳听力损失大于等于 </w:t>
            </w:r>
            <w:r>
              <w:rPr>
                <w:rFonts w:ascii="Times New Roman" w:eastAsia="Times New Roman"/>
                <w:color w:val="000000" w:themeColor="text1"/>
                <w:sz w:val="18"/>
                <w:highlight w:val="none"/>
                <w14:textFill>
                  <w14:solidFill>
                    <w14:schemeClr w14:val="tx1"/>
                  </w14:solidFill>
                </w14:textFill>
              </w:rPr>
              <w:t>41dB</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b230.31/2, b230.22/1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一耳听力损失大于等于 </w:t>
            </w:r>
            <w:r>
              <w:rPr>
                <w:rFonts w:ascii="Times New Roman" w:eastAsia="Times New Roman"/>
                <w:color w:val="000000" w:themeColor="text1"/>
                <w:sz w:val="18"/>
                <w:highlight w:val="none"/>
                <w14:textFill>
                  <w14:solidFill>
                    <w14:schemeClr w14:val="tx1"/>
                  </w14:solidFill>
                </w14:textFill>
              </w:rPr>
              <w:t>91dB</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一耳听力损失大于等于 </w:t>
            </w:r>
            <w:r>
              <w:rPr>
                <w:rFonts w:ascii="Times New Roman" w:eastAsia="Times New Roman"/>
                <w:color w:val="000000" w:themeColor="text1"/>
                <w:sz w:val="18"/>
                <w:highlight w:val="none"/>
                <w14:textFill>
                  <w14:solidFill>
                    <w14:schemeClr w14:val="tx1"/>
                  </w14:solidFill>
                </w14:textFill>
              </w:rPr>
              <w:t>56dB</w:t>
            </w:r>
            <w:r>
              <w:rPr>
                <w:color w:val="000000" w:themeColor="text1"/>
                <w:sz w:val="18"/>
                <w:highlight w:val="none"/>
                <w14:textFill>
                  <w14:solidFill>
                    <w14:schemeClr w14:val="tx1"/>
                  </w14:solidFill>
                </w14:textFill>
              </w:rPr>
              <w:t xml:space="preserve">，且另一耳听力损失大于等于 </w:t>
            </w:r>
            <w:r>
              <w:rPr>
                <w:rFonts w:ascii="Times New Roman" w:eastAsia="Times New Roman"/>
                <w:color w:val="000000" w:themeColor="text1"/>
                <w:sz w:val="18"/>
                <w:highlight w:val="none"/>
                <w14:textFill>
                  <w14:solidFill>
                    <w14:schemeClr w14:val="tx1"/>
                  </w14:solidFill>
                </w14:textFill>
              </w:rPr>
              <w:t>41dB</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b230.2Z1/2, b230.22/1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3" w:type="dxa"/>
            <w:vAlign w:val="top"/>
          </w:tcPr>
          <w:p>
            <w:pPr>
              <w:pStyle w:val="24"/>
              <w:spacing w:before="15"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一耳听力损失大于等于 </w:t>
            </w:r>
            <w:r>
              <w:rPr>
                <w:rFonts w:ascii="Times New Roman" w:eastAsia="Times New Roman"/>
                <w:color w:val="000000" w:themeColor="text1"/>
                <w:sz w:val="18"/>
                <w:highlight w:val="none"/>
                <w14:textFill>
                  <w14:solidFill>
                    <w14:schemeClr w14:val="tx1"/>
                  </w14:solidFill>
                </w14:textFill>
              </w:rPr>
              <w:t>71dB</w:t>
            </w:r>
          </w:p>
        </w:tc>
        <w:tc>
          <w:tcPr>
            <w:tcW w:w="849" w:type="dxa"/>
            <w:vAlign w:val="top"/>
          </w:tcPr>
          <w:p>
            <w:pPr>
              <w:pStyle w:val="24"/>
              <w:spacing w:before="15"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双耳听力损失大于等于 </w:t>
            </w:r>
            <w:r>
              <w:rPr>
                <w:rFonts w:ascii="Times New Roman" w:eastAsia="Times New Roman"/>
                <w:color w:val="000000" w:themeColor="text1"/>
                <w:sz w:val="18"/>
                <w:highlight w:val="none"/>
                <w14:textFill>
                  <w14:solidFill>
                    <w14:schemeClr w14:val="tx1"/>
                  </w14:solidFill>
                </w14:textFill>
              </w:rPr>
              <w:t>26dB</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10</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一耳听力损失大于等于 </w:t>
            </w:r>
            <w:r>
              <w:rPr>
                <w:rFonts w:ascii="Times New Roman" w:eastAsia="Times New Roman"/>
                <w:color w:val="000000" w:themeColor="text1"/>
                <w:sz w:val="18"/>
                <w:highlight w:val="none"/>
                <w14:textFill>
                  <w14:solidFill>
                    <w14:schemeClr w14:val="tx1"/>
                  </w14:solidFill>
                </w14:textFill>
              </w:rPr>
              <w:t>56dB</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10</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b230.2Z1/2</w:t>
            </w:r>
          </w:p>
        </w:tc>
      </w:tr>
    </w:tbl>
    <w:p>
      <w:pPr>
        <w:pStyle w:val="20"/>
        <w:numPr>
          <w:ilvl w:val="1"/>
          <w:numId w:val="13"/>
        </w:numPr>
        <w:tabs>
          <w:tab w:val="left" w:pos="867"/>
        </w:tabs>
        <w:autoSpaceDE w:val="0"/>
        <w:autoSpaceDN w:val="0"/>
        <w:spacing w:before="178" w:after="0"/>
        <w:rPr>
          <w:rFonts w:eastAsia="Times New Roman"/>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发声和言语的结构和功能</w:t>
      </w:r>
    </w:p>
    <w:p>
      <w:pPr>
        <w:pStyle w:val="8"/>
        <w:spacing w:before="7"/>
        <w:rPr>
          <w:rFonts w:ascii="黑体"/>
          <w:color w:val="000000" w:themeColor="text1"/>
          <w:sz w:val="15"/>
          <w:highlight w:val="none"/>
          <w14:textFill>
            <w14:solidFill>
              <w14:schemeClr w14:val="tx1"/>
            </w14:solidFill>
          </w14:textFill>
        </w:rPr>
      </w:pPr>
    </w:p>
    <w:p>
      <w:pPr>
        <w:pStyle w:val="20"/>
        <w:numPr>
          <w:ilvl w:val="2"/>
          <w:numId w:val="13"/>
        </w:numPr>
        <w:tabs>
          <w:tab w:val="left" w:pos="1128"/>
        </w:tabs>
        <w:autoSpaceDE w:val="0"/>
        <w:autoSpaceDN w:val="0"/>
        <w:spacing w:after="0"/>
        <w:ind w:left="1127" w:hanging="63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鼻的结构损伤</w:t>
      </w:r>
    </w:p>
    <w:p>
      <w:pPr>
        <w:pStyle w:val="8"/>
        <w:spacing w:before="7"/>
        <w:rPr>
          <w:rFonts w:ascii="黑体"/>
          <w:color w:val="000000" w:themeColor="text1"/>
          <w:sz w:val="15"/>
          <w:highlight w:val="none"/>
          <w14:textFill>
            <w14:solidFill>
              <w14:schemeClr w14:val="tx1"/>
            </w14:solidFill>
          </w14:textFill>
        </w:rPr>
      </w:pPr>
    </w:p>
    <w:p>
      <w:pPr>
        <w:pStyle w:val="8"/>
        <w:spacing w:after="20"/>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表11</w:t>
      </w: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3"/>
        <w:gridCol w:w="84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ind w:left="2651" w:right="264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line="208" w:lineRule="exact"/>
              <w:ind w:left="949" w:right="93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外鼻部完全缺失</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s3100.419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3"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外鼻部大部分缺失</w:t>
            </w:r>
          </w:p>
        </w:tc>
        <w:tc>
          <w:tcPr>
            <w:tcW w:w="849" w:type="dxa"/>
            <w:vAlign w:val="top"/>
          </w:tcPr>
          <w:p>
            <w:pPr>
              <w:pStyle w:val="24"/>
              <w:spacing w:before="14"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s3100.328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双侧鼻腔或鼻咽部闭锁</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s3108B.253/ s3300.259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鼻尖及一侧鼻翼缺失</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s3100.224, s3100A.221/2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63"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一侧鼻翼缺损</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s3100A.221/2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单侧鼻腔或鼻孔闭锁</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10</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s3108A.251/2/ s3108B.251/2</w:t>
            </w:r>
          </w:p>
        </w:tc>
      </w:tr>
    </w:tbl>
    <w:p>
      <w:pPr>
        <w:pStyle w:val="20"/>
        <w:numPr>
          <w:ilvl w:val="2"/>
          <w:numId w:val="13"/>
        </w:numPr>
        <w:tabs>
          <w:tab w:val="left" w:pos="1075"/>
        </w:tabs>
        <w:autoSpaceDE w:val="0"/>
        <w:autoSpaceDN w:val="0"/>
        <w:spacing w:before="178" w:after="0"/>
        <w:ind w:left="1074" w:hanging="57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口腔的结构损伤</w:t>
      </w:r>
    </w:p>
    <w:p>
      <w:pPr>
        <w:pStyle w:val="8"/>
        <w:spacing w:before="7"/>
        <w:rPr>
          <w:rFonts w:ascii="黑体"/>
          <w:color w:val="000000" w:themeColor="text1"/>
          <w:sz w:val="15"/>
          <w:highlight w:val="none"/>
          <w14:textFill>
            <w14:solidFill>
              <w14:schemeClr w14:val="tx1"/>
            </w14:solidFill>
          </w14:textFill>
        </w:rPr>
      </w:pPr>
    </w:p>
    <w:p>
      <w:pPr>
        <w:pStyle w:val="8"/>
        <w:spacing w:after="21"/>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表12</w:t>
      </w:r>
    </w:p>
    <w:tbl>
      <w:tblPr>
        <w:tblStyle w:val="14"/>
        <w:tblW w:w="9574"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9"/>
        <w:gridCol w:w="876"/>
        <w:gridCol w:w="2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819" w:type="dxa"/>
            <w:vAlign w:val="top"/>
          </w:tcPr>
          <w:p>
            <w:pPr>
              <w:pStyle w:val="24"/>
              <w:spacing w:before="14" w:line="208" w:lineRule="exact"/>
              <w:ind w:left="2529" w:right="252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76" w:type="dxa"/>
            <w:vAlign w:val="top"/>
          </w:tcPr>
          <w:p>
            <w:pPr>
              <w:pStyle w:val="24"/>
              <w:spacing w:before="14" w:line="208" w:lineRule="exact"/>
              <w:ind w:left="211" w:right="205"/>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879" w:type="dxa"/>
            <w:vAlign w:val="top"/>
          </w:tcPr>
          <w:p>
            <w:pPr>
              <w:pStyle w:val="24"/>
              <w:spacing w:before="14" w:line="208" w:lineRule="exact"/>
              <w:ind w:left="1059" w:right="104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19"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舌缺损大于全舌的 </w:t>
            </w:r>
            <w:r>
              <w:rPr>
                <w:rFonts w:ascii="Times New Roman" w:eastAsia="Times New Roman"/>
                <w:color w:val="000000" w:themeColor="text1"/>
                <w:sz w:val="18"/>
                <w:highlight w:val="none"/>
                <w14:textFill>
                  <w14:solidFill>
                    <w14:schemeClr w14:val="tx1"/>
                  </w14:solidFill>
                </w14:textFill>
              </w:rPr>
              <w:t>2/3</w:t>
            </w:r>
          </w:p>
        </w:tc>
        <w:tc>
          <w:tcPr>
            <w:tcW w:w="876" w:type="dxa"/>
            <w:vAlign w:val="top"/>
          </w:tcPr>
          <w:p>
            <w:pPr>
              <w:pStyle w:val="24"/>
              <w:spacing w:before="12" w:line="208" w:lineRule="exact"/>
              <w:ind w:left="216" w:right="205"/>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879"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s3203.328Z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19"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舌缺损大于全舌的 </w:t>
            </w:r>
            <w:r>
              <w:rPr>
                <w:rFonts w:ascii="Times New Roman" w:eastAsia="Times New Roman"/>
                <w:color w:val="000000" w:themeColor="text1"/>
                <w:sz w:val="18"/>
                <w:highlight w:val="none"/>
                <w14:textFill>
                  <w14:solidFill>
                    <w14:schemeClr w14:val="tx1"/>
                  </w14:solidFill>
                </w14:textFill>
              </w:rPr>
              <w:t>1/3</w:t>
            </w:r>
          </w:p>
        </w:tc>
        <w:tc>
          <w:tcPr>
            <w:tcW w:w="876" w:type="dxa"/>
            <w:vAlign w:val="top"/>
          </w:tcPr>
          <w:p>
            <w:pPr>
              <w:pStyle w:val="24"/>
              <w:spacing w:before="12" w:line="208" w:lineRule="exact"/>
              <w:ind w:left="216" w:right="205"/>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879"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s3203.228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5819" w:type="dxa"/>
            <w:vAlign w:val="top"/>
          </w:tcPr>
          <w:p>
            <w:pPr>
              <w:pStyle w:val="24"/>
              <w:spacing w:line="215"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口腔损伤导致牙齿脱落大于等于 </w:t>
            </w:r>
            <w:r>
              <w:rPr>
                <w:rFonts w:ascii="Times New Roman" w:eastAsia="Times New Roman"/>
                <w:color w:val="000000" w:themeColor="text1"/>
                <w:sz w:val="18"/>
                <w:highlight w:val="none"/>
                <w14:textFill>
                  <w14:solidFill>
                    <w14:schemeClr w14:val="tx1"/>
                  </w14:solidFill>
                </w14:textFill>
              </w:rPr>
              <w:t xml:space="preserve">16 </w:t>
            </w:r>
            <w:r>
              <w:rPr>
                <w:color w:val="000000" w:themeColor="text1"/>
                <w:sz w:val="18"/>
                <w:highlight w:val="none"/>
                <w14:textFill>
                  <w14:solidFill>
                    <w14:schemeClr w14:val="tx1"/>
                  </w14:solidFill>
                </w14:textFill>
              </w:rPr>
              <w:t>枚</w:t>
            </w:r>
          </w:p>
        </w:tc>
        <w:tc>
          <w:tcPr>
            <w:tcW w:w="876" w:type="dxa"/>
            <w:vAlign w:val="top"/>
          </w:tcPr>
          <w:p>
            <w:pPr>
              <w:pStyle w:val="24"/>
              <w:spacing w:line="215" w:lineRule="exact"/>
              <w:ind w:left="216" w:right="205"/>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879" w:type="dxa"/>
            <w:vAlign w:val="top"/>
          </w:tcPr>
          <w:p>
            <w:pPr>
              <w:pStyle w:val="24"/>
              <w:spacing w:before="23" w:line="203"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s3200.320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819" w:type="dxa"/>
            <w:vAlign w:val="top"/>
          </w:tcPr>
          <w:p>
            <w:pPr>
              <w:pStyle w:val="24"/>
              <w:spacing w:before="12" w:line="213"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口腔损伤导致牙齿脱落大于等于 </w:t>
            </w: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枚</w:t>
            </w:r>
          </w:p>
        </w:tc>
        <w:tc>
          <w:tcPr>
            <w:tcW w:w="876" w:type="dxa"/>
            <w:vAlign w:val="top"/>
          </w:tcPr>
          <w:p>
            <w:pPr>
              <w:pStyle w:val="24"/>
              <w:spacing w:before="12" w:line="213" w:lineRule="exact"/>
              <w:ind w:left="216" w:right="205"/>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10</w:t>
            </w:r>
            <w:r>
              <w:rPr>
                <w:color w:val="000000" w:themeColor="text1"/>
                <w:sz w:val="18"/>
                <w:highlight w:val="none"/>
                <w14:textFill>
                  <w14:solidFill>
                    <w14:schemeClr w14:val="tx1"/>
                  </w14:solidFill>
                </w14:textFill>
              </w:rPr>
              <w:t>级</w:t>
            </w:r>
          </w:p>
        </w:tc>
        <w:tc>
          <w:tcPr>
            <w:tcW w:w="2879" w:type="dxa"/>
            <w:vAlign w:val="top"/>
          </w:tcPr>
          <w:p>
            <w:pPr>
              <w:pStyle w:val="24"/>
              <w:spacing w:before="23" w:line="201"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s3200.220</w:t>
            </w:r>
          </w:p>
        </w:tc>
      </w:tr>
    </w:tbl>
    <w:p>
      <w:pPr>
        <w:pStyle w:val="20"/>
        <w:numPr>
          <w:ilvl w:val="2"/>
          <w:numId w:val="13"/>
        </w:numPr>
        <w:tabs>
          <w:tab w:val="left" w:pos="1075"/>
        </w:tabs>
        <w:autoSpaceDE w:val="0"/>
        <w:autoSpaceDN w:val="0"/>
        <w:spacing w:before="179" w:after="0"/>
        <w:ind w:left="1074" w:hanging="57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发声和言语的功能障碍</w:t>
      </w:r>
    </w:p>
    <w:p>
      <w:pPr>
        <w:pStyle w:val="8"/>
        <w:spacing w:before="6"/>
        <w:rPr>
          <w:rFonts w:ascii="黑体"/>
          <w:color w:val="000000" w:themeColor="text1"/>
          <w:sz w:val="15"/>
          <w:highlight w:val="none"/>
          <w14:textFill>
            <w14:solidFill>
              <w14:schemeClr w14:val="tx1"/>
            </w14:solidFill>
          </w14:textFill>
        </w:rPr>
      </w:pPr>
    </w:p>
    <w:p>
      <w:pPr>
        <w:pStyle w:val="8"/>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本标准中的发声和言语的功能障碍是指语言功能丧失。</w:t>
      </w:r>
    </w:p>
    <w:p>
      <w:pPr>
        <w:pStyle w:val="8"/>
        <w:spacing w:before="44" w:after="20"/>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13</w:t>
      </w:r>
    </w:p>
    <w:tbl>
      <w:tblPr>
        <w:tblStyle w:val="14"/>
        <w:tblW w:w="9574"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9"/>
        <w:gridCol w:w="862"/>
        <w:gridCol w:w="2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819" w:type="dxa"/>
            <w:vAlign w:val="top"/>
          </w:tcPr>
          <w:p>
            <w:pPr>
              <w:pStyle w:val="24"/>
              <w:spacing w:before="14" w:line="208" w:lineRule="exact"/>
              <w:ind w:left="2529" w:right="252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62" w:type="dxa"/>
            <w:vAlign w:val="top"/>
          </w:tcPr>
          <w:p>
            <w:pPr>
              <w:pStyle w:val="24"/>
              <w:spacing w:before="14" w:line="208" w:lineRule="exact"/>
              <w:ind w:left="25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893" w:type="dxa"/>
            <w:vAlign w:val="top"/>
          </w:tcPr>
          <w:p>
            <w:pPr>
              <w:pStyle w:val="24"/>
              <w:spacing w:before="14" w:line="208" w:lineRule="exact"/>
              <w:ind w:left="1064" w:right="105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19"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语言功能完全丧失</w:t>
            </w:r>
          </w:p>
        </w:tc>
        <w:tc>
          <w:tcPr>
            <w:tcW w:w="862" w:type="dxa"/>
            <w:vAlign w:val="top"/>
          </w:tcPr>
          <w:p>
            <w:pPr>
              <w:pStyle w:val="24"/>
              <w:spacing w:before="12" w:line="208" w:lineRule="exact"/>
              <w:ind w:left="275"/>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893" w:type="dxa"/>
            <w:vAlign w:val="top"/>
          </w:tcPr>
          <w:p>
            <w:pPr>
              <w:pStyle w:val="24"/>
              <w:spacing w:before="23" w:line="196" w:lineRule="exact"/>
              <w:ind w:left="106"/>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b167.4, b399.4</w:t>
            </w:r>
          </w:p>
        </w:tc>
      </w:tr>
    </w:tbl>
    <w:p>
      <w:pPr>
        <w:spacing w:before="38" w:line="324" w:lineRule="auto"/>
        <w:ind w:left="496" w:right="607"/>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pPr>
        <w:pStyle w:val="20"/>
        <w:numPr>
          <w:ilvl w:val="1"/>
          <w:numId w:val="13"/>
        </w:numPr>
        <w:tabs>
          <w:tab w:val="left" w:pos="867"/>
        </w:tabs>
        <w:autoSpaceDE w:val="0"/>
        <w:autoSpaceDN w:val="0"/>
        <w:spacing w:before="142" w:after="0"/>
        <w:rPr>
          <w:rFonts w:eastAsia="Times New Roman"/>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心血管，免疫和呼吸系统的结构和功能</w:t>
      </w:r>
    </w:p>
    <w:p>
      <w:pPr>
        <w:pStyle w:val="20"/>
        <w:numPr>
          <w:ilvl w:val="0"/>
          <w:numId w:val="0"/>
        </w:numPr>
        <w:tabs>
          <w:tab w:val="left" w:pos="867"/>
        </w:tabs>
        <w:autoSpaceDE w:val="0"/>
        <w:autoSpaceDN w:val="0"/>
        <w:spacing w:before="142" w:after="0"/>
        <w:ind w:left="496" w:leftChars="0"/>
        <w:rPr>
          <w:rFonts w:eastAsia="Times New Roman"/>
          <w:color w:val="000000" w:themeColor="text1"/>
          <w:highlight w:val="none"/>
          <w14:textFill>
            <w14:solidFill>
              <w14:schemeClr w14:val="tx1"/>
            </w14:solidFill>
          </w14:textFill>
        </w:rPr>
      </w:pPr>
    </w:p>
    <w:p>
      <w:pPr>
        <w:pStyle w:val="8"/>
        <w:spacing w:before="7"/>
        <w:rPr>
          <w:rFonts w:hint="default" w:ascii="黑体" w:eastAsia="宋体"/>
          <w:color w:val="000000" w:themeColor="text1"/>
          <w:sz w:val="15"/>
          <w:highlight w:val="none"/>
          <w:lang w:val="en-US" w:eastAsia="zh-CN"/>
          <w14:textFill>
            <w14:solidFill>
              <w14:schemeClr w14:val="tx1"/>
            </w14:solidFill>
          </w14:textFill>
        </w:rPr>
      </w:pPr>
      <w:r>
        <w:rPr>
          <w:rFonts w:hint="eastAsia" w:ascii="黑体"/>
          <w:color w:val="000000" w:themeColor="text1"/>
          <w:sz w:val="15"/>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4.4.1   心脏的结构损伤或功能障碍</w:t>
      </w:r>
    </w:p>
    <w:p>
      <w:pPr>
        <w:rPr>
          <w:color w:val="000000" w:themeColor="text1"/>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7"/>
        <w:rPr>
          <w:rFonts w:ascii="黑体"/>
          <w:color w:val="000000" w:themeColor="text1"/>
          <w:sz w:val="14"/>
          <w:highlight w:val="none"/>
          <w14:textFill>
            <w14:solidFill>
              <w14:schemeClr w14:val="tx1"/>
            </w14:solidFill>
          </w14:textFill>
        </w:rPr>
      </w:pPr>
    </w:p>
    <w:p>
      <w:pPr>
        <w:pStyle w:val="8"/>
        <w:spacing w:before="72" w:after="20"/>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表14</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2"/>
        <w:gridCol w:w="862"/>
        <w:gridCol w:w="2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12" w:type="dxa"/>
            <w:vAlign w:val="top"/>
          </w:tcPr>
          <w:p>
            <w:pPr>
              <w:pStyle w:val="24"/>
              <w:spacing w:line="208" w:lineRule="exact"/>
              <w:ind w:left="2524" w:right="251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62" w:type="dxa"/>
            <w:vAlign w:val="top"/>
          </w:tcPr>
          <w:p>
            <w:pPr>
              <w:pStyle w:val="24"/>
              <w:spacing w:line="208" w:lineRule="exact"/>
              <w:ind w:left="0" w:right="238"/>
              <w:jc w:val="righ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900" w:type="dxa"/>
            <w:vAlign w:val="top"/>
          </w:tcPr>
          <w:p>
            <w:pPr>
              <w:pStyle w:val="24"/>
              <w:spacing w:line="208" w:lineRule="exact"/>
              <w:ind w:left="1071" w:right="105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12"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胸部损伤导致心肺联合移植</w:t>
            </w:r>
          </w:p>
        </w:tc>
        <w:tc>
          <w:tcPr>
            <w:tcW w:w="862" w:type="dxa"/>
            <w:vAlign w:val="top"/>
          </w:tcPr>
          <w:p>
            <w:pPr>
              <w:pStyle w:val="24"/>
              <w:spacing w:before="12" w:line="208" w:lineRule="exact"/>
              <w:ind w:left="0" w:right="261"/>
              <w:jc w:val="right"/>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900"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s4100.418S, s4301.413S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12"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胸部损伤导致心脏贯通伤修补术后，心电图有明显改变</w:t>
            </w:r>
          </w:p>
        </w:tc>
        <w:tc>
          <w:tcPr>
            <w:tcW w:w="862" w:type="dxa"/>
            <w:vAlign w:val="top"/>
          </w:tcPr>
          <w:p>
            <w:pPr>
              <w:pStyle w:val="24"/>
              <w:spacing w:before="12" w:line="208" w:lineRule="exact"/>
              <w:ind w:left="0" w:right="261"/>
              <w:jc w:val="right"/>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900" w:type="dxa"/>
            <w:vAlign w:val="top"/>
          </w:tcPr>
          <w:p>
            <w:pPr>
              <w:pStyle w:val="24"/>
              <w:spacing w:before="23"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s4100.350S;b410.2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812"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胸部损伤导致心肌破裂修补</w:t>
            </w:r>
          </w:p>
        </w:tc>
        <w:tc>
          <w:tcPr>
            <w:tcW w:w="862" w:type="dxa"/>
            <w:vAlign w:val="top"/>
          </w:tcPr>
          <w:p>
            <w:pPr>
              <w:pStyle w:val="24"/>
              <w:spacing w:before="14" w:line="208" w:lineRule="exact"/>
              <w:ind w:left="0" w:right="261"/>
              <w:jc w:val="right"/>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900" w:type="dxa"/>
            <w:vAlign w:val="top"/>
          </w:tcPr>
          <w:p>
            <w:pPr>
              <w:pStyle w:val="24"/>
              <w:spacing w:before="26" w:line="196" w:lineRule="exact"/>
              <w:ind w:left="109"/>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s41008.148</w:t>
            </w:r>
          </w:p>
        </w:tc>
      </w:tr>
    </w:tbl>
    <w:p>
      <w:pPr>
        <w:pStyle w:val="20"/>
        <w:numPr>
          <w:ilvl w:val="2"/>
          <w:numId w:val="13"/>
        </w:numPr>
        <w:tabs>
          <w:tab w:val="left" w:pos="947"/>
          <w:tab w:val="left" w:pos="948"/>
        </w:tabs>
        <w:autoSpaceDE w:val="0"/>
        <w:autoSpaceDN w:val="0"/>
        <w:spacing w:before="178" w:after="0"/>
        <w:ind w:left="947"/>
        <w:jc w:val="left"/>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脾结构损伤</w:t>
      </w:r>
    </w:p>
    <w:p>
      <w:pPr>
        <w:pStyle w:val="8"/>
        <w:spacing w:before="7"/>
        <w:rPr>
          <w:rFonts w:ascii="黑体"/>
          <w:color w:val="000000" w:themeColor="text1"/>
          <w:sz w:val="15"/>
          <w:highlight w:val="none"/>
          <w14:textFill>
            <w14:solidFill>
              <w14:schemeClr w14:val="tx1"/>
            </w14:solidFill>
          </w14:textFill>
        </w:rPr>
      </w:pPr>
    </w:p>
    <w:p>
      <w:pPr>
        <w:pStyle w:val="8"/>
        <w:spacing w:after="21"/>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表15</w:t>
      </w:r>
    </w:p>
    <w:tbl>
      <w:tblPr>
        <w:tblStyle w:val="14"/>
        <w:tblW w:w="957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1"/>
        <w:gridCol w:w="828"/>
        <w:gridCol w:w="2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31" w:type="dxa"/>
            <w:vAlign w:val="top"/>
          </w:tcPr>
          <w:p>
            <w:pPr>
              <w:pStyle w:val="24"/>
              <w:spacing w:line="208" w:lineRule="exact"/>
              <w:ind w:left="2533" w:right="252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28" w:type="dxa"/>
            <w:vAlign w:val="top"/>
          </w:tcPr>
          <w:p>
            <w:pPr>
              <w:pStyle w:val="24"/>
              <w:spacing w:line="208" w:lineRule="exact"/>
              <w:ind w:left="2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914" w:type="dxa"/>
            <w:vAlign w:val="top"/>
          </w:tcPr>
          <w:p>
            <w:pPr>
              <w:pStyle w:val="24"/>
              <w:spacing w:line="208" w:lineRule="exact"/>
              <w:ind w:left="1079" w:right="1064"/>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31"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腹部损伤导致脾切除</w:t>
            </w:r>
          </w:p>
        </w:tc>
        <w:tc>
          <w:tcPr>
            <w:tcW w:w="828" w:type="dxa"/>
            <w:vAlign w:val="top"/>
          </w:tcPr>
          <w:p>
            <w:pPr>
              <w:pStyle w:val="24"/>
              <w:spacing w:line="208" w:lineRule="exact"/>
              <w:ind w:left="25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914"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s4203.419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31"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腹部损伤导致脾部分切除</w:t>
            </w:r>
          </w:p>
        </w:tc>
        <w:tc>
          <w:tcPr>
            <w:tcW w:w="828" w:type="dxa"/>
            <w:vAlign w:val="top"/>
          </w:tcPr>
          <w:p>
            <w:pPr>
              <w:pStyle w:val="24"/>
              <w:spacing w:before="12" w:line="208" w:lineRule="exact"/>
              <w:ind w:left="25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914"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s4203.228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31" w:type="dxa"/>
            <w:tcBorders>
              <w:bottom w:val="single" w:color="000000" w:sz="6" w:space="0"/>
            </w:tcBorders>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腹部损伤导致脾破裂修补</w:t>
            </w:r>
          </w:p>
        </w:tc>
        <w:tc>
          <w:tcPr>
            <w:tcW w:w="828" w:type="dxa"/>
            <w:tcBorders>
              <w:bottom w:val="single" w:color="000000" w:sz="6" w:space="0"/>
            </w:tcBorders>
            <w:vAlign w:val="top"/>
          </w:tcPr>
          <w:p>
            <w:pPr>
              <w:pStyle w:val="24"/>
              <w:spacing w:line="208" w:lineRule="exact"/>
              <w:ind w:left="211"/>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914" w:type="dxa"/>
            <w:tcBorders>
              <w:bottom w:val="single" w:color="000000" w:sz="6" w:space="0"/>
            </w:tcBorders>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s4203.148</w:t>
            </w:r>
          </w:p>
        </w:tc>
      </w:tr>
    </w:tbl>
    <w:p>
      <w:pPr>
        <w:pStyle w:val="20"/>
        <w:numPr>
          <w:ilvl w:val="2"/>
          <w:numId w:val="13"/>
        </w:numPr>
        <w:tabs>
          <w:tab w:val="left" w:pos="947"/>
          <w:tab w:val="left" w:pos="948"/>
        </w:tabs>
        <w:autoSpaceDE w:val="0"/>
        <w:autoSpaceDN w:val="0"/>
        <w:spacing w:before="179" w:after="0"/>
        <w:ind w:left="947"/>
        <w:jc w:val="lef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肺的结构损伤</w:t>
      </w:r>
    </w:p>
    <w:p>
      <w:pPr>
        <w:pStyle w:val="8"/>
        <w:spacing w:before="6"/>
        <w:rPr>
          <w:rFonts w:ascii="黑体"/>
          <w:color w:val="000000" w:themeColor="text1"/>
          <w:sz w:val="15"/>
          <w:highlight w:val="none"/>
          <w14:textFill>
            <w14:solidFill>
              <w14:schemeClr w14:val="tx1"/>
            </w14:solidFill>
          </w14:textFill>
        </w:rPr>
      </w:pPr>
    </w:p>
    <w:p>
      <w:pPr>
        <w:pStyle w:val="8"/>
        <w:spacing w:after="21"/>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表16</w:t>
      </w:r>
    </w:p>
    <w:tbl>
      <w:tblPr>
        <w:tblStyle w:val="14"/>
        <w:tblW w:w="9571"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3"/>
        <w:gridCol w:w="832"/>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33" w:type="dxa"/>
            <w:vAlign w:val="top"/>
          </w:tcPr>
          <w:p>
            <w:pPr>
              <w:pStyle w:val="24"/>
              <w:spacing w:line="208" w:lineRule="exact"/>
              <w:ind w:left="2536" w:right="252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32" w:type="dxa"/>
            <w:vAlign w:val="top"/>
          </w:tcPr>
          <w:p>
            <w:pPr>
              <w:pStyle w:val="24"/>
              <w:spacing w:line="208" w:lineRule="exact"/>
              <w:ind w:left="215" w:right="20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906" w:type="dxa"/>
            <w:vAlign w:val="top"/>
          </w:tcPr>
          <w:p>
            <w:pPr>
              <w:pStyle w:val="24"/>
              <w:spacing w:line="208" w:lineRule="exact"/>
              <w:ind w:left="1076" w:right="106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33"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胸部损伤导致一侧全肺切除</w:t>
            </w:r>
          </w:p>
        </w:tc>
        <w:tc>
          <w:tcPr>
            <w:tcW w:w="832" w:type="dxa"/>
            <w:vAlign w:val="top"/>
          </w:tcPr>
          <w:p>
            <w:pPr>
              <w:pStyle w:val="24"/>
              <w:spacing w:before="12" w:line="208" w:lineRule="exact"/>
              <w:ind w:left="215" w:right="20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906" w:type="dxa"/>
            <w:vAlign w:val="top"/>
          </w:tcPr>
          <w:p>
            <w:pPr>
              <w:pStyle w:val="24"/>
              <w:spacing w:before="23" w:line="196" w:lineRule="exact"/>
              <w:ind w:left="111"/>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s4301.411/2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3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胸部损伤导致双侧肺叶切除</w:t>
            </w:r>
          </w:p>
        </w:tc>
        <w:tc>
          <w:tcPr>
            <w:tcW w:w="832" w:type="dxa"/>
            <w:vAlign w:val="top"/>
          </w:tcPr>
          <w:p>
            <w:pPr>
              <w:pStyle w:val="24"/>
              <w:spacing w:line="208" w:lineRule="exact"/>
              <w:ind w:left="215" w:right="20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906" w:type="dxa"/>
            <w:vAlign w:val="top"/>
          </w:tcPr>
          <w:p>
            <w:pPr>
              <w:pStyle w:val="24"/>
              <w:spacing w:before="23" w:line="196" w:lineRule="exact"/>
              <w:ind w:left="111"/>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s43018A.823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3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胸部损伤导致同侧双肺叶切除</w:t>
            </w:r>
          </w:p>
        </w:tc>
        <w:tc>
          <w:tcPr>
            <w:tcW w:w="832" w:type="dxa"/>
            <w:vAlign w:val="top"/>
          </w:tcPr>
          <w:p>
            <w:pPr>
              <w:pStyle w:val="24"/>
              <w:spacing w:line="208" w:lineRule="exact"/>
              <w:ind w:left="215" w:right="20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906" w:type="dxa"/>
            <w:vAlign w:val="top"/>
          </w:tcPr>
          <w:p>
            <w:pPr>
              <w:pStyle w:val="24"/>
              <w:spacing w:before="23" w:line="196" w:lineRule="exact"/>
              <w:ind w:left="111"/>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s43018A.321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833" w:type="dxa"/>
            <w:vAlign w:val="top"/>
          </w:tcPr>
          <w:p>
            <w:pPr>
              <w:pStyle w:val="24"/>
              <w:spacing w:before="12" w:line="210"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胸部损伤导致肺叶切除</w:t>
            </w:r>
          </w:p>
        </w:tc>
        <w:tc>
          <w:tcPr>
            <w:tcW w:w="832" w:type="dxa"/>
            <w:vAlign w:val="top"/>
          </w:tcPr>
          <w:p>
            <w:pPr>
              <w:pStyle w:val="24"/>
              <w:spacing w:before="12" w:line="210" w:lineRule="exact"/>
              <w:ind w:left="215" w:right="20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906" w:type="dxa"/>
            <w:vAlign w:val="top"/>
          </w:tcPr>
          <w:p>
            <w:pPr>
              <w:pStyle w:val="24"/>
              <w:spacing w:before="23" w:line="198" w:lineRule="exact"/>
              <w:ind w:left="111"/>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s43018A.828</w:t>
            </w:r>
          </w:p>
        </w:tc>
      </w:tr>
    </w:tbl>
    <w:p>
      <w:pPr>
        <w:pStyle w:val="20"/>
        <w:numPr>
          <w:ilvl w:val="2"/>
          <w:numId w:val="13"/>
        </w:numPr>
        <w:tabs>
          <w:tab w:val="left" w:pos="947"/>
          <w:tab w:val="left" w:pos="948"/>
        </w:tabs>
        <w:autoSpaceDE w:val="0"/>
        <w:autoSpaceDN w:val="0"/>
        <w:spacing w:before="178" w:after="0"/>
        <w:ind w:left="947"/>
        <w:jc w:val="lef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胸廓的结构损伤</w:t>
      </w:r>
    </w:p>
    <w:p>
      <w:pPr>
        <w:pStyle w:val="8"/>
        <w:spacing w:before="7"/>
        <w:rPr>
          <w:rFonts w:ascii="黑体"/>
          <w:color w:val="000000" w:themeColor="text1"/>
          <w:sz w:val="15"/>
          <w:highlight w:val="none"/>
          <w14:textFill>
            <w14:solidFill>
              <w14:schemeClr w14:val="tx1"/>
            </w14:solidFill>
          </w14:textFill>
        </w:rPr>
      </w:pPr>
    </w:p>
    <w:p>
      <w:pPr>
        <w:pStyle w:val="8"/>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本标准中的胸廓的结构损伤是指肋骨骨折或缺失。</w:t>
      </w:r>
    </w:p>
    <w:p>
      <w:pPr>
        <w:pStyle w:val="8"/>
        <w:spacing w:before="43" w:after="21"/>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17</w:t>
      </w:r>
    </w:p>
    <w:tbl>
      <w:tblPr>
        <w:tblStyle w:val="14"/>
        <w:tblW w:w="9572"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5"/>
        <w:gridCol w:w="818"/>
        <w:gridCol w:w="2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5855" w:type="dxa"/>
            <w:tcBorders>
              <w:left w:val="single" w:color="000000" w:sz="4" w:space="0"/>
              <w:bottom w:val="single" w:color="000000" w:sz="4" w:space="0"/>
              <w:right w:val="single" w:color="000000" w:sz="4" w:space="0"/>
            </w:tcBorders>
            <w:vAlign w:val="top"/>
          </w:tcPr>
          <w:p>
            <w:pPr>
              <w:pStyle w:val="24"/>
              <w:spacing w:before="9" w:line="208" w:lineRule="exact"/>
              <w:ind w:left="2545" w:right="25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18" w:type="dxa"/>
            <w:tcBorders>
              <w:left w:val="single" w:color="000000" w:sz="4" w:space="0"/>
              <w:bottom w:val="single" w:color="000000" w:sz="4" w:space="0"/>
              <w:right w:val="single" w:color="000000" w:sz="4" w:space="0"/>
            </w:tcBorders>
            <w:vAlign w:val="top"/>
          </w:tcPr>
          <w:p>
            <w:pPr>
              <w:pStyle w:val="24"/>
              <w:spacing w:before="9" w:line="208" w:lineRule="exact"/>
              <w:ind w:left="187" w:right="175"/>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899" w:type="dxa"/>
            <w:tcBorders>
              <w:left w:val="single" w:color="000000" w:sz="4" w:space="0"/>
              <w:bottom w:val="single" w:color="000000" w:sz="4" w:space="0"/>
              <w:right w:val="single" w:color="000000" w:sz="4" w:space="0"/>
            </w:tcBorders>
            <w:vAlign w:val="top"/>
          </w:tcPr>
          <w:p>
            <w:pPr>
              <w:pStyle w:val="24"/>
              <w:spacing w:before="9" w:line="208" w:lineRule="exact"/>
              <w:ind w:left="1070" w:right="105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5855" w:type="dxa"/>
            <w:tcBorders>
              <w:top w:val="single" w:color="000000" w:sz="4" w:space="0"/>
              <w:left w:val="single" w:color="000000" w:sz="4" w:space="0"/>
              <w:bottom w:val="single" w:color="000000" w:sz="4" w:space="0"/>
              <w:right w:val="single" w:color="000000" w:sz="4" w:space="0"/>
            </w:tcBorders>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胸部损伤导致大于等于 </w:t>
            </w:r>
            <w:r>
              <w:rPr>
                <w:rFonts w:ascii="Times New Roman" w:eastAsia="Times New Roman"/>
                <w:color w:val="000000" w:themeColor="text1"/>
                <w:sz w:val="18"/>
                <w:highlight w:val="none"/>
                <w14:textFill>
                  <w14:solidFill>
                    <w14:schemeClr w14:val="tx1"/>
                  </w14:solidFill>
                </w14:textFill>
              </w:rPr>
              <w:t xml:space="preserve">12 </w:t>
            </w:r>
            <w:r>
              <w:rPr>
                <w:color w:val="000000" w:themeColor="text1"/>
                <w:sz w:val="18"/>
                <w:highlight w:val="none"/>
                <w14:textFill>
                  <w14:solidFill>
                    <w14:schemeClr w14:val="tx1"/>
                  </w14:solidFill>
                </w14:textFill>
              </w:rPr>
              <w:t>根肋骨骨折</w:t>
            </w:r>
          </w:p>
        </w:tc>
        <w:tc>
          <w:tcPr>
            <w:tcW w:w="818" w:type="dxa"/>
            <w:tcBorders>
              <w:top w:val="single" w:color="000000" w:sz="4" w:space="0"/>
              <w:left w:val="single" w:color="000000" w:sz="4" w:space="0"/>
              <w:bottom w:val="single" w:color="000000" w:sz="4" w:space="0"/>
              <w:right w:val="single" w:color="000000" w:sz="4" w:space="0"/>
            </w:tcBorders>
            <w:vAlign w:val="top"/>
          </w:tcPr>
          <w:p>
            <w:pPr>
              <w:pStyle w:val="24"/>
              <w:spacing w:before="12" w:line="208" w:lineRule="exact"/>
              <w:ind w:left="187" w:right="175"/>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899" w:type="dxa"/>
            <w:tcBorders>
              <w:top w:val="single" w:color="000000" w:sz="4" w:space="0"/>
              <w:left w:val="single" w:color="000000" w:sz="4" w:space="0"/>
              <w:bottom w:val="single" w:color="000000" w:sz="4" w:space="0"/>
              <w:right w:val="single" w:color="000000" w:sz="4" w:space="0"/>
            </w:tcBorders>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s4302A.350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5855" w:type="dxa"/>
            <w:tcBorders>
              <w:top w:val="single" w:color="000000" w:sz="4" w:space="0"/>
              <w:left w:val="single" w:color="000000" w:sz="4" w:space="0"/>
              <w:bottom w:val="single" w:color="000000" w:sz="4" w:space="0"/>
              <w:right w:val="single" w:color="000000" w:sz="4" w:space="0"/>
            </w:tcBorders>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胸部损伤导致大于等于 </w:t>
            </w: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根肋骨骨折</w:t>
            </w:r>
          </w:p>
        </w:tc>
        <w:tc>
          <w:tcPr>
            <w:tcW w:w="818" w:type="dxa"/>
            <w:tcBorders>
              <w:top w:val="single" w:color="000000" w:sz="4" w:space="0"/>
              <w:left w:val="single" w:color="000000" w:sz="4" w:space="0"/>
              <w:bottom w:val="single" w:color="000000" w:sz="4" w:space="0"/>
              <w:right w:val="single" w:color="000000" w:sz="4" w:space="0"/>
            </w:tcBorders>
            <w:vAlign w:val="top"/>
          </w:tcPr>
          <w:p>
            <w:pPr>
              <w:pStyle w:val="24"/>
              <w:spacing w:line="208" w:lineRule="exact"/>
              <w:ind w:left="187" w:right="175"/>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899" w:type="dxa"/>
            <w:tcBorders>
              <w:top w:val="single" w:color="000000" w:sz="4" w:space="0"/>
              <w:left w:val="single" w:color="000000" w:sz="4" w:space="0"/>
              <w:bottom w:val="single" w:color="000000" w:sz="4" w:space="0"/>
              <w:right w:val="single" w:color="000000" w:sz="4" w:space="0"/>
            </w:tcBorders>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s4302A.250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5855" w:type="dxa"/>
            <w:tcBorders>
              <w:top w:val="single" w:color="000000" w:sz="4" w:space="0"/>
              <w:left w:val="single" w:color="000000" w:sz="4" w:space="0"/>
              <w:bottom w:val="single" w:color="000000" w:sz="4" w:space="0"/>
              <w:right w:val="single" w:color="000000" w:sz="4" w:space="0"/>
            </w:tcBorders>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胸部损伤导致大于等于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根肋骨缺失</w:t>
            </w:r>
          </w:p>
        </w:tc>
        <w:tc>
          <w:tcPr>
            <w:tcW w:w="818" w:type="dxa"/>
            <w:tcBorders>
              <w:top w:val="single" w:color="000000" w:sz="4" w:space="0"/>
              <w:left w:val="single" w:color="000000" w:sz="4" w:space="0"/>
              <w:bottom w:val="single" w:color="000000" w:sz="4" w:space="0"/>
              <w:right w:val="single" w:color="000000" w:sz="4" w:space="0"/>
            </w:tcBorders>
            <w:vAlign w:val="top"/>
          </w:tcPr>
          <w:p>
            <w:pPr>
              <w:pStyle w:val="24"/>
              <w:spacing w:line="208" w:lineRule="exact"/>
              <w:ind w:left="187" w:right="175"/>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899" w:type="dxa"/>
            <w:tcBorders>
              <w:top w:val="single" w:color="000000" w:sz="4" w:space="0"/>
              <w:left w:val="single" w:color="000000" w:sz="4" w:space="0"/>
              <w:bottom w:val="single" w:color="000000" w:sz="4" w:space="0"/>
              <w:right w:val="single" w:color="000000" w:sz="4" w:space="0"/>
            </w:tcBorders>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s4302A.120Z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5855" w:type="dxa"/>
            <w:tcBorders>
              <w:top w:val="single" w:color="000000" w:sz="4" w:space="0"/>
              <w:left w:val="single" w:color="000000" w:sz="4" w:space="0"/>
              <w:bottom w:val="single" w:color="000000" w:sz="4" w:space="0"/>
              <w:right w:val="single" w:color="000000" w:sz="4" w:space="0"/>
            </w:tcBorders>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胸部损伤导致大于等于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根肋骨骨折</w:t>
            </w:r>
          </w:p>
        </w:tc>
        <w:tc>
          <w:tcPr>
            <w:tcW w:w="818" w:type="dxa"/>
            <w:tcBorders>
              <w:top w:val="single" w:color="000000" w:sz="4" w:space="0"/>
              <w:left w:val="single" w:color="000000" w:sz="4" w:space="0"/>
              <w:bottom w:val="single" w:color="000000" w:sz="4" w:space="0"/>
              <w:right w:val="single" w:color="000000" w:sz="4" w:space="0"/>
            </w:tcBorders>
            <w:vAlign w:val="top"/>
          </w:tcPr>
          <w:p>
            <w:pPr>
              <w:pStyle w:val="24"/>
              <w:spacing w:before="12" w:line="208" w:lineRule="exact"/>
              <w:ind w:left="187" w:right="175"/>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10</w:t>
            </w:r>
            <w:r>
              <w:rPr>
                <w:color w:val="000000" w:themeColor="text1"/>
                <w:sz w:val="18"/>
                <w:highlight w:val="none"/>
                <w14:textFill>
                  <w14:solidFill>
                    <w14:schemeClr w14:val="tx1"/>
                  </w14:solidFill>
                </w14:textFill>
              </w:rPr>
              <w:t>级</w:t>
            </w:r>
          </w:p>
        </w:tc>
        <w:tc>
          <w:tcPr>
            <w:tcW w:w="2899" w:type="dxa"/>
            <w:tcBorders>
              <w:top w:val="single" w:color="000000" w:sz="4" w:space="0"/>
              <w:left w:val="single" w:color="000000" w:sz="4" w:space="0"/>
              <w:bottom w:val="single" w:color="000000" w:sz="4" w:space="0"/>
              <w:right w:val="single" w:color="000000" w:sz="4" w:space="0"/>
            </w:tcBorders>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s4302A.150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 w:hRule="atLeast"/>
        </w:trPr>
        <w:tc>
          <w:tcPr>
            <w:tcW w:w="5855" w:type="dxa"/>
            <w:tcBorders>
              <w:top w:val="single" w:color="000000" w:sz="4" w:space="0"/>
              <w:left w:val="single" w:color="000000" w:sz="4" w:space="0"/>
              <w:bottom w:val="single" w:color="000000" w:sz="4" w:space="0"/>
              <w:right w:val="single" w:color="000000" w:sz="4" w:space="0"/>
            </w:tcBorders>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胸部损伤导致大于等于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根肋骨缺失</w:t>
            </w:r>
          </w:p>
        </w:tc>
        <w:tc>
          <w:tcPr>
            <w:tcW w:w="818" w:type="dxa"/>
            <w:tcBorders>
              <w:top w:val="single" w:color="000000" w:sz="4" w:space="0"/>
              <w:left w:val="single" w:color="000000" w:sz="4" w:space="0"/>
              <w:bottom w:val="single" w:color="000000" w:sz="4" w:space="0"/>
              <w:right w:val="single" w:color="000000" w:sz="4" w:space="0"/>
            </w:tcBorders>
            <w:vAlign w:val="top"/>
          </w:tcPr>
          <w:p>
            <w:pPr>
              <w:pStyle w:val="24"/>
              <w:spacing w:before="14" w:line="208" w:lineRule="exact"/>
              <w:ind w:left="187" w:right="175"/>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10</w:t>
            </w:r>
            <w:r>
              <w:rPr>
                <w:color w:val="000000" w:themeColor="text1"/>
                <w:sz w:val="18"/>
                <w:highlight w:val="none"/>
                <w14:textFill>
                  <w14:solidFill>
                    <w14:schemeClr w14:val="tx1"/>
                  </w14:solidFill>
                </w14:textFill>
              </w:rPr>
              <w:t>级</w:t>
            </w:r>
          </w:p>
        </w:tc>
        <w:tc>
          <w:tcPr>
            <w:tcW w:w="2899" w:type="dxa"/>
            <w:tcBorders>
              <w:top w:val="single" w:color="000000" w:sz="4" w:space="0"/>
              <w:left w:val="single" w:color="000000" w:sz="4" w:space="0"/>
              <w:bottom w:val="single" w:color="000000" w:sz="4" w:space="0"/>
              <w:right w:val="single" w:color="000000" w:sz="4" w:space="0"/>
            </w:tcBorders>
            <w:vAlign w:val="top"/>
          </w:tcPr>
          <w:p>
            <w:pPr>
              <w:pStyle w:val="24"/>
              <w:spacing w:before="26"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s4302A.120</w:t>
            </w:r>
          </w:p>
        </w:tc>
      </w:tr>
    </w:tbl>
    <w:p>
      <w:pPr>
        <w:pStyle w:val="20"/>
        <w:numPr>
          <w:ilvl w:val="1"/>
          <w:numId w:val="13"/>
        </w:numPr>
        <w:tabs>
          <w:tab w:val="left" w:pos="738"/>
          <w:tab w:val="left" w:pos="739"/>
        </w:tabs>
        <w:autoSpaceDE w:val="0"/>
        <w:autoSpaceDN w:val="0"/>
        <w:spacing w:before="179" w:after="0"/>
        <w:ind w:left="738" w:hanging="526"/>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消化、代谢和内分泌系统有关的结构和功能</w:t>
      </w:r>
    </w:p>
    <w:p>
      <w:pPr>
        <w:pStyle w:val="8"/>
        <w:spacing w:before="6"/>
        <w:rPr>
          <w:rFonts w:ascii="黑体"/>
          <w:color w:val="000000" w:themeColor="text1"/>
          <w:sz w:val="15"/>
          <w:highlight w:val="none"/>
          <w14:textFill>
            <w14:solidFill>
              <w14:schemeClr w14:val="tx1"/>
            </w14:solidFill>
          </w14:textFill>
        </w:rPr>
      </w:pPr>
    </w:p>
    <w:p>
      <w:pPr>
        <w:pStyle w:val="20"/>
        <w:numPr>
          <w:ilvl w:val="2"/>
          <w:numId w:val="13"/>
        </w:numPr>
        <w:tabs>
          <w:tab w:val="left" w:pos="845"/>
        </w:tabs>
        <w:autoSpaceDE w:val="0"/>
        <w:autoSpaceDN w:val="0"/>
        <w:spacing w:after="0"/>
        <w:ind w:left="844" w:hanging="632"/>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咀嚼和吞咽功能障碍</w:t>
      </w:r>
    </w:p>
    <w:p>
      <w:pPr>
        <w:pStyle w:val="8"/>
        <w:spacing w:before="7"/>
        <w:rPr>
          <w:rFonts w:ascii="黑体"/>
          <w:color w:val="000000" w:themeColor="text1"/>
          <w:sz w:val="15"/>
          <w:highlight w:val="none"/>
          <w14:textFill>
            <w14:solidFill>
              <w14:schemeClr w14:val="tx1"/>
            </w14:solidFill>
          </w14:textFill>
        </w:rPr>
      </w:pPr>
    </w:p>
    <w:p>
      <w:pPr>
        <w:pStyle w:val="8"/>
        <w:spacing w:line="278" w:lineRule="auto"/>
        <w:ind w:left="212" w:right="709" w:firstLine="4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咀嚼是指用后牙</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如磨牙</w:t>
      </w:r>
      <w:r>
        <w:rPr>
          <w:color w:val="000000" w:themeColor="text1"/>
          <w:spacing w:val="-20"/>
          <w:highlight w:val="none"/>
          <w14:textFill>
            <w14:solidFill>
              <w14:schemeClr w14:val="tx1"/>
            </w14:solidFill>
          </w14:textFill>
        </w:rPr>
        <w:t>）</w:t>
      </w:r>
      <w:r>
        <w:rPr>
          <w:color w:val="000000" w:themeColor="text1"/>
          <w:spacing w:val="-9"/>
          <w:highlight w:val="none"/>
          <w14:textFill>
            <w14:solidFill>
              <w14:schemeClr w14:val="tx1"/>
            </w14:solidFill>
          </w14:textFill>
        </w:rPr>
        <w:t>碾、磨或咀嚼食物的功能。吞咽是指通过口腔、咽和食道把食物和饮料</w:t>
      </w:r>
      <w:r>
        <w:rPr>
          <w:color w:val="000000" w:themeColor="text1"/>
          <w:spacing w:val="-5"/>
          <w:highlight w:val="none"/>
          <w14:textFill>
            <w14:solidFill>
              <w14:schemeClr w14:val="tx1"/>
            </w14:solidFill>
          </w14:textFill>
        </w:rPr>
        <w:t>以适宜的频率和速度送入胃中的功能。</w:t>
      </w:r>
    </w:p>
    <w:p>
      <w:pPr>
        <w:pStyle w:val="8"/>
        <w:spacing w:after="21"/>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18</w:t>
      </w:r>
    </w:p>
    <w:tbl>
      <w:tblPr>
        <w:tblStyle w:val="14"/>
        <w:tblW w:w="9575"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2"/>
        <w:gridCol w:w="831"/>
        <w:gridCol w:w="2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72" w:type="dxa"/>
            <w:vAlign w:val="top"/>
          </w:tcPr>
          <w:p>
            <w:pPr>
              <w:pStyle w:val="24"/>
              <w:spacing w:before="12" w:line="208" w:lineRule="exact"/>
              <w:ind w:left="2555" w:right="254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31" w:type="dxa"/>
            <w:vAlign w:val="top"/>
          </w:tcPr>
          <w:p>
            <w:pPr>
              <w:pStyle w:val="24"/>
              <w:spacing w:before="12" w:line="208" w:lineRule="exact"/>
              <w:ind w:left="23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872" w:type="dxa"/>
            <w:vAlign w:val="top"/>
          </w:tcPr>
          <w:p>
            <w:pPr>
              <w:pStyle w:val="24"/>
              <w:spacing w:before="12" w:line="208" w:lineRule="exact"/>
              <w:ind w:left="1054" w:right="104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872"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咀嚼、吞咽功能完全丧失</w:t>
            </w:r>
          </w:p>
        </w:tc>
        <w:tc>
          <w:tcPr>
            <w:tcW w:w="831" w:type="dxa"/>
            <w:vAlign w:val="top"/>
          </w:tcPr>
          <w:p>
            <w:pPr>
              <w:pStyle w:val="24"/>
              <w:spacing w:line="208" w:lineRule="exact"/>
              <w:ind w:left="25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1 级</w:t>
            </w:r>
          </w:p>
        </w:tc>
        <w:tc>
          <w:tcPr>
            <w:tcW w:w="2872" w:type="dxa"/>
            <w:vAlign w:val="top"/>
          </w:tcPr>
          <w:p>
            <w:pPr>
              <w:pStyle w:val="24"/>
              <w:spacing w:line="208" w:lineRule="exact"/>
              <w:ind w:left="10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b5102.4, b5105.4</w:t>
            </w:r>
          </w:p>
        </w:tc>
      </w:tr>
    </w:tbl>
    <w:p>
      <w:pPr>
        <w:spacing w:before="38" w:line="324" w:lineRule="auto"/>
        <w:ind w:left="212" w:right="89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表注：咀嚼、吞咽功能丧失指由于牙齿以外的原因引起器质障碍或机能障碍，以致不能作咀嚼、吞咽运动，除流质食物外不能摄取或吞咽的状态。</w:t>
      </w:r>
    </w:p>
    <w:p>
      <w:pPr>
        <w:pStyle w:val="20"/>
        <w:numPr>
          <w:ilvl w:val="2"/>
          <w:numId w:val="13"/>
        </w:numPr>
        <w:tabs>
          <w:tab w:val="left" w:pos="845"/>
        </w:tabs>
        <w:autoSpaceDE w:val="0"/>
        <w:autoSpaceDN w:val="0"/>
        <w:spacing w:before="142" w:after="0"/>
        <w:ind w:left="844" w:hanging="632"/>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肠的结构损伤</w:t>
      </w:r>
    </w:p>
    <w:p>
      <w:pPr>
        <w:pStyle w:val="8"/>
        <w:spacing w:before="6"/>
        <w:rPr>
          <w:rFonts w:ascii="黑体"/>
          <w:color w:val="000000" w:themeColor="text1"/>
          <w:sz w:val="15"/>
          <w:highlight w:val="none"/>
          <w14:textFill>
            <w14:solidFill>
              <w14:schemeClr w14:val="tx1"/>
            </w14:solidFill>
          </w14:textFill>
        </w:rPr>
      </w:pPr>
    </w:p>
    <w:p>
      <w:pPr>
        <w:pStyle w:val="8"/>
        <w:spacing w:before="1" w:after="20"/>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表19</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4" w:type="dxa"/>
            <w:vAlign w:val="top"/>
          </w:tcPr>
          <w:p>
            <w:pPr>
              <w:pStyle w:val="24"/>
              <w:spacing w:before="14"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腹部损伤导致小肠切除大于等于 </w:t>
            </w:r>
            <w:r>
              <w:rPr>
                <w:rFonts w:ascii="Times New Roman" w:eastAsia="Times New Roman"/>
                <w:color w:val="000000" w:themeColor="text1"/>
                <w:sz w:val="18"/>
                <w:highlight w:val="none"/>
                <w14:textFill>
                  <w14:solidFill>
                    <w14:schemeClr w14:val="tx1"/>
                  </w14:solidFill>
                </w14:textFill>
              </w:rPr>
              <w:t>90%</w:t>
            </w:r>
          </w:p>
        </w:tc>
        <w:tc>
          <w:tcPr>
            <w:tcW w:w="850" w:type="dxa"/>
            <w:vAlign w:val="top"/>
          </w:tcPr>
          <w:p>
            <w:pPr>
              <w:pStyle w:val="24"/>
              <w:spacing w:before="14"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s5400.328Z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腹部损伤导致小肠切除大于等于 </w:t>
            </w:r>
            <w:r>
              <w:rPr>
                <w:rFonts w:ascii="Times New Roman" w:eastAsia="Times New Roman"/>
                <w:color w:val="000000" w:themeColor="text1"/>
                <w:sz w:val="18"/>
                <w:highlight w:val="none"/>
                <w14:textFill>
                  <w14:solidFill>
                    <w14:schemeClr w14:val="tx1"/>
                  </w14:solidFill>
                </w14:textFill>
              </w:rPr>
              <w:t>75%</w:t>
            </w:r>
            <w:r>
              <w:rPr>
                <w:color w:val="000000" w:themeColor="text1"/>
                <w:sz w:val="18"/>
                <w:highlight w:val="none"/>
                <w14:textFill>
                  <w14:solidFill>
                    <w14:schemeClr w14:val="tx1"/>
                  </w14:solidFill>
                </w14:textFill>
              </w:rPr>
              <w:t>，合并短肠综合症</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s5400.328;b5152.3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腹部损伤导致小肠切除大于等于 </w:t>
            </w:r>
            <w:r>
              <w:rPr>
                <w:rFonts w:ascii="Times New Roman" w:eastAsia="Times New Roman"/>
                <w:color w:val="000000" w:themeColor="text1"/>
                <w:sz w:val="18"/>
                <w:highlight w:val="none"/>
                <w14:textFill>
                  <w14:solidFill>
                    <w14:schemeClr w14:val="tx1"/>
                  </w14:solidFill>
                </w14:textFill>
              </w:rPr>
              <w:t>75%</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s5400.328</w:t>
            </w:r>
          </w:p>
        </w:tc>
      </w:tr>
    </w:tbl>
    <w:p>
      <w:pPr>
        <w:spacing w:line="196" w:lineRule="exact"/>
        <w:rPr>
          <w:color w:val="000000" w:themeColor="text1"/>
          <w:sz w:val="18"/>
          <w:highlight w:val="none"/>
          <w14:textFill>
            <w14:solidFill>
              <w14:schemeClr w14:val="tx1"/>
            </w14:solidFill>
          </w14:textFill>
        </w:rPr>
        <w:sectPr>
          <w:pgSz w:w="11910" w:h="16840"/>
          <w:pgMar w:top="1660" w:right="700" w:bottom="1340" w:left="920" w:header="1441" w:footer="1140" w:gutter="0"/>
          <w:cols w:space="720" w:num="1"/>
        </w:sectPr>
      </w:pPr>
    </w:p>
    <w:p>
      <w:pPr>
        <w:pStyle w:val="8"/>
        <w:spacing w:line="20" w:lineRule="exact"/>
        <w:ind w:left="383"/>
        <w:rPr>
          <w:rFonts w:ascii="黑体"/>
          <w:color w:val="000000" w:themeColor="text1"/>
          <w:sz w:val="2"/>
          <w:highlight w:val="none"/>
          <w14:textFill>
            <w14:solidFill>
              <w14:schemeClr w14:val="tx1"/>
            </w14:solidFill>
          </w14:textFill>
        </w:rPr>
      </w:pPr>
      <w:r>
        <w:rPr>
          <w:rFonts w:ascii="黑体"/>
          <w:color w:val="000000" w:themeColor="text1"/>
          <w:sz w:val="2"/>
          <w:highlight w:val="none"/>
          <w:lang w:val="en-US" w:bidi="ar-SA"/>
          <w14:textFill>
            <w14:solidFill>
              <w14:schemeClr w14:val="tx1"/>
            </w14:solidFill>
          </w14:textFill>
        </w:rPr>
        <mc:AlternateContent>
          <mc:Choice Requires="wpg">
            <w:drawing>
              <wp:inline distT="0" distB="0" distL="114300" distR="114300">
                <wp:extent cx="6079490" cy="6350"/>
                <wp:effectExtent l="0" t="0" r="0" b="0"/>
                <wp:docPr id="75" name="组合 75"/>
                <wp:cNvGraphicFramePr/>
                <a:graphic xmlns:a="http://schemas.openxmlformats.org/drawingml/2006/main">
                  <a:graphicData uri="http://schemas.microsoft.com/office/word/2010/wordprocessingGroup">
                    <wpg:wgp>
                      <wpg:cNvGrpSpPr>
                        <a:grpSpLocks noRot="1"/>
                      </wpg:cNvGrpSpPr>
                      <wpg:grpSpPr>
                        <a:xfrm>
                          <a:off x="0" y="0"/>
                          <a:ext cx="6079490" cy="6350"/>
                          <a:chOff x="0" y="0"/>
                          <a:chExt cx="9574" cy="0"/>
                        </a:xfrm>
                      </wpg:grpSpPr>
                      <wps:wsp>
                        <wps:cNvPr id="74" name="直接连接符 74"/>
                        <wps:cNvCnPr/>
                        <wps:spPr>
                          <a:xfrm>
                            <a:off x="0" y="0"/>
                            <a:ext cx="9574"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78.7pt;" coordsize="9574,0" o:gfxdata="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Lh&#10;LLHUAAAAAwEAAA8AAAAAAAAAAQAgAAAAIgAAAGRycy9kb3ducmV2LnhtbFBLAQIUABQAAAAIAIdO&#10;4kBwyCIvYAIAADMFAAAOAAAAAAAAAAEAIAAAACMBAABkcnMvZTJvRG9jLnhtbFBLBQYAAAAABgAG&#10;AFkBAAD1BQAAAAA=&#10;">
                <o:lock v:ext="edit" rotation="t" aspectratio="f"/>
                <v:line id="_x0000_s1026" o:spid="_x0000_s1026" o:spt="20" style="position:absolute;left:0;top:0;height:0;width:9574;" filled="f" stroked="t" coordsize="21600,21600" o:gfxdata="UEsDBAoAAAAAAIdO4kAAAAAAAAAAAAAAAAAEAAAAZHJzL1BLAwQUAAAACACHTuJA/VxutL0AAADb&#10;AAAADwAAAGRycy9kb3ducmV2LnhtbEWPQYvCMBSE7wv+h/CEva2pi6y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G60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none"/>
                <w10:anchorlock/>
              </v:group>
            </w:pict>
          </mc:Fallback>
        </mc:AlternateContent>
      </w:r>
    </w:p>
    <w:p>
      <w:pPr>
        <w:pStyle w:val="8"/>
        <w:spacing w:before="10"/>
        <w:rPr>
          <w:rFonts w:ascii="黑体"/>
          <w:color w:val="000000" w:themeColor="text1"/>
          <w:sz w:val="22"/>
          <w:highlight w:val="none"/>
          <w14:textFill>
            <w14:solidFill>
              <w14:schemeClr w14:val="tx1"/>
            </w14:solidFill>
          </w14:textFill>
        </w:rPr>
      </w:pP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3"/>
        <w:gridCol w:w="84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ind w:left="2651" w:right="264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9" w:right="93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腹部或骨盆部损伤导致全结肠、直肠、肛门结构切除，回肠造瘘</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s5401.419, s8105.158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63" w:type="dxa"/>
            <w:vAlign w:val="top"/>
          </w:tcPr>
          <w:p>
            <w:pPr>
              <w:pStyle w:val="24"/>
              <w:spacing w:before="13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腹部或骨盆部损伤导致直肠、肛门切除，且结肠部分切除，结肠造瘘</w:t>
            </w:r>
          </w:p>
        </w:tc>
        <w:tc>
          <w:tcPr>
            <w:tcW w:w="849" w:type="dxa"/>
            <w:vAlign w:val="top"/>
          </w:tcPr>
          <w:p>
            <w:pPr>
              <w:pStyle w:val="24"/>
              <w:spacing w:before="134"/>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 w:line="240" w:lineRule="exact"/>
              <w:ind w:left="108" w:right="736"/>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s5401B.419, s598A.419, s5401A.228, s8105.158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3"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腹部损伤导致小肠切除大于等于 </w:t>
            </w:r>
            <w:r>
              <w:rPr>
                <w:rFonts w:ascii="Times New Roman" w:eastAsia="Times New Roman"/>
                <w:color w:val="000000" w:themeColor="text1"/>
                <w:sz w:val="18"/>
                <w:highlight w:val="none"/>
                <w14:textFill>
                  <w14:solidFill>
                    <w14:schemeClr w14:val="tx1"/>
                  </w14:solidFill>
                </w14:textFill>
              </w:rPr>
              <w:t>50%,</w:t>
            </w:r>
            <w:r>
              <w:rPr>
                <w:color w:val="000000" w:themeColor="text1"/>
                <w:sz w:val="18"/>
                <w:highlight w:val="none"/>
                <w14:textFill>
                  <w14:solidFill>
                    <w14:schemeClr w14:val="tx1"/>
                  </w14:solidFill>
                </w14:textFill>
              </w:rPr>
              <w:t>且包括回盲部切除</w:t>
            </w:r>
          </w:p>
        </w:tc>
        <w:tc>
          <w:tcPr>
            <w:tcW w:w="849" w:type="dxa"/>
            <w:vAlign w:val="top"/>
          </w:tcPr>
          <w:p>
            <w:pPr>
              <w:pStyle w:val="24"/>
              <w:spacing w:before="132"/>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0" w:line="240" w:lineRule="exact"/>
              <w:ind w:left="108" w:right="776"/>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s5400.327, s5400C.419, s5408A.419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腹部损伤导致小肠切除大于等于 </w:t>
            </w:r>
            <w:r>
              <w:rPr>
                <w:rFonts w:ascii="Times New Roman" w:eastAsia="Times New Roman"/>
                <w:color w:val="000000" w:themeColor="text1"/>
                <w:sz w:val="18"/>
                <w:highlight w:val="none"/>
                <w14:textFill>
                  <w14:solidFill>
                    <w14:schemeClr w14:val="tx1"/>
                  </w14:solidFill>
                </w14:textFill>
              </w:rPr>
              <w:t>50%</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s5400.326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腹部损伤导致结肠切除大于等于 </w:t>
            </w:r>
            <w:r>
              <w:rPr>
                <w:rFonts w:ascii="Times New Roman" w:eastAsia="Times New Roman"/>
                <w:color w:val="000000" w:themeColor="text1"/>
                <w:sz w:val="18"/>
                <w:highlight w:val="none"/>
                <w14:textFill>
                  <w14:solidFill>
                    <w14:schemeClr w14:val="tx1"/>
                  </w14:solidFill>
                </w14:textFill>
              </w:rPr>
              <w:t>50%</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s5401A.328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腹部损伤导致结肠部分切除</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s5401A.228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3"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骨盆部损伤导致直肠、肛门损伤，且遗留永久性乙状结肠造口</w:t>
            </w:r>
          </w:p>
        </w:tc>
        <w:tc>
          <w:tcPr>
            <w:tcW w:w="849" w:type="dxa"/>
            <w:vAlign w:val="top"/>
          </w:tcPr>
          <w:p>
            <w:pPr>
              <w:pStyle w:val="24"/>
              <w:spacing w:before="132"/>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0" w:line="240" w:lineRule="exact"/>
              <w:ind w:left="108" w:right="736"/>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s5401B.189, s598A.189, s8105.158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3" w:type="dxa"/>
            <w:vAlign w:val="top"/>
          </w:tcPr>
          <w:p>
            <w:pPr>
              <w:pStyle w:val="24"/>
              <w:spacing w:before="13"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骨盆部损伤导致直肠、肛门损伤，且瘢痕形成</w:t>
            </w:r>
          </w:p>
        </w:tc>
        <w:tc>
          <w:tcPr>
            <w:tcW w:w="849" w:type="dxa"/>
            <w:vAlign w:val="top"/>
          </w:tcPr>
          <w:p>
            <w:pPr>
              <w:pStyle w:val="24"/>
              <w:spacing w:before="13"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10</w:t>
            </w:r>
            <w:r>
              <w:rPr>
                <w:rFonts w:hint="eastAsia" w:ascii="Times New Roman"/>
                <w:color w:val="000000" w:themeColor="text1"/>
                <w:sz w:val="18"/>
                <w:highlight w:val="none"/>
                <w:lang w:val="en-US" w:eastAsia="zh-CN"/>
                <w14:textFill>
                  <w14:solidFill>
                    <w14:schemeClr w14:val="tx1"/>
                  </w14:solidFill>
                </w14:textFill>
              </w:rPr>
              <w:t xml:space="preserve"> </w:t>
            </w:r>
            <w:r>
              <w:rPr>
                <w:color w:val="000000" w:themeColor="text1"/>
                <w:sz w:val="18"/>
                <w:highlight w:val="none"/>
                <w14:textFill>
                  <w14:solidFill>
                    <w14:schemeClr w14:val="tx1"/>
                  </w14:solidFill>
                </w14:textFill>
              </w:rPr>
              <w:t>级</w:t>
            </w:r>
          </w:p>
        </w:tc>
        <w:tc>
          <w:tcPr>
            <w:tcW w:w="2660" w:type="dxa"/>
            <w:vAlign w:val="top"/>
          </w:tcPr>
          <w:p>
            <w:pPr>
              <w:pStyle w:val="24"/>
              <w:spacing w:before="25"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s5401B.189, s598A.189;b820.1</w:t>
            </w:r>
          </w:p>
        </w:tc>
      </w:tr>
    </w:tbl>
    <w:p>
      <w:pPr>
        <w:pStyle w:val="8"/>
        <w:spacing w:before="4"/>
        <w:rPr>
          <w:rFonts w:ascii="黑体"/>
          <w:color w:val="000000" w:themeColor="text1"/>
          <w:sz w:val="8"/>
          <w:highlight w:val="none"/>
          <w14:textFill>
            <w14:solidFill>
              <w14:schemeClr w14:val="tx1"/>
            </w14:solidFill>
          </w14:textFill>
        </w:rPr>
      </w:pPr>
    </w:p>
    <w:p>
      <w:pPr>
        <w:pStyle w:val="20"/>
        <w:numPr>
          <w:ilvl w:val="2"/>
          <w:numId w:val="13"/>
        </w:numPr>
        <w:tabs>
          <w:tab w:val="left" w:pos="1128"/>
        </w:tabs>
        <w:autoSpaceDE w:val="0"/>
        <w:autoSpaceDN w:val="0"/>
        <w:spacing w:before="72" w:after="0"/>
        <w:ind w:left="1127" w:hanging="631"/>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胃结构损伤</w:t>
      </w:r>
    </w:p>
    <w:p>
      <w:pPr>
        <w:pStyle w:val="8"/>
        <w:spacing w:before="12"/>
        <w:rPr>
          <w:rFonts w:ascii="黑体"/>
          <w:color w:val="000000" w:themeColor="text1"/>
          <w:sz w:val="9"/>
          <w:highlight w:val="none"/>
          <w14:textFill>
            <w14:solidFill>
              <w14:schemeClr w14:val="tx1"/>
            </w14:solidFill>
          </w14:textFill>
        </w:rPr>
      </w:pPr>
    </w:p>
    <w:p>
      <w:pPr>
        <w:pStyle w:val="8"/>
        <w:spacing w:before="72" w:after="20"/>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表20</w:t>
      </w: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3"/>
        <w:gridCol w:w="84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ind w:left="2651" w:right="264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49" w:type="dxa"/>
            <w:vAlign w:val="top"/>
          </w:tcPr>
          <w:p>
            <w:pPr>
              <w:pStyle w:val="24"/>
              <w:spacing w:before="12" w:line="208" w:lineRule="exact"/>
              <w:ind w:left="2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9" w:right="93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腹部损伤导致全胃切除</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s530.419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腹部损伤导致胃切除大于等于 </w:t>
            </w:r>
            <w:r>
              <w:rPr>
                <w:rFonts w:ascii="Times New Roman" w:eastAsia="Times New Roman"/>
                <w:color w:val="000000" w:themeColor="text1"/>
                <w:sz w:val="18"/>
                <w:highlight w:val="none"/>
                <w14:textFill>
                  <w14:solidFill>
                    <w14:schemeClr w14:val="tx1"/>
                  </w14:solidFill>
                </w14:textFill>
              </w:rPr>
              <w:t>50%</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s530.328</w:t>
            </w:r>
          </w:p>
        </w:tc>
      </w:tr>
    </w:tbl>
    <w:p>
      <w:pPr>
        <w:pStyle w:val="20"/>
        <w:numPr>
          <w:ilvl w:val="2"/>
          <w:numId w:val="13"/>
        </w:numPr>
        <w:tabs>
          <w:tab w:val="left" w:pos="1128"/>
        </w:tabs>
        <w:autoSpaceDE w:val="0"/>
        <w:autoSpaceDN w:val="0"/>
        <w:spacing w:before="178" w:after="0"/>
        <w:ind w:left="1127" w:hanging="631"/>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胰结构损伤或代谢功能障碍</w:t>
      </w:r>
    </w:p>
    <w:p>
      <w:pPr>
        <w:pStyle w:val="8"/>
        <w:rPr>
          <w:rFonts w:ascii="黑体"/>
          <w:color w:val="000000" w:themeColor="text1"/>
          <w:sz w:val="10"/>
          <w:highlight w:val="none"/>
          <w14:textFill>
            <w14:solidFill>
              <w14:schemeClr w14:val="tx1"/>
            </w14:solidFill>
          </w14:textFill>
        </w:rPr>
      </w:pPr>
    </w:p>
    <w:p>
      <w:pPr>
        <w:pStyle w:val="8"/>
        <w:spacing w:before="71"/>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本标准中的代谢功能障碍是指胰岛素依赖。</w:t>
      </w:r>
    </w:p>
    <w:p>
      <w:pPr>
        <w:pStyle w:val="8"/>
        <w:spacing w:before="43" w:after="21"/>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21</w:t>
      </w: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3"/>
        <w:gridCol w:w="84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3" w:type="dxa"/>
            <w:vAlign w:val="top"/>
          </w:tcPr>
          <w:p>
            <w:pPr>
              <w:pStyle w:val="24"/>
              <w:spacing w:before="14" w:line="208" w:lineRule="exact"/>
              <w:ind w:left="2651" w:right="264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49" w:type="dxa"/>
            <w:vAlign w:val="top"/>
          </w:tcPr>
          <w:p>
            <w:pPr>
              <w:pStyle w:val="24"/>
              <w:spacing w:before="14" w:line="208" w:lineRule="exact"/>
              <w:ind w:left="2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4" w:line="208" w:lineRule="exact"/>
              <w:ind w:left="949" w:right="93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63"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腹部损伤导致胰完全切除</w:t>
            </w:r>
          </w:p>
        </w:tc>
        <w:tc>
          <w:tcPr>
            <w:tcW w:w="849"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s550.419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腹部损伤导致胰切除大于等于 </w:t>
            </w:r>
            <w:r>
              <w:rPr>
                <w:rFonts w:ascii="Times New Roman" w:eastAsia="Times New Roman"/>
                <w:color w:val="000000" w:themeColor="text1"/>
                <w:sz w:val="18"/>
                <w:highlight w:val="none"/>
                <w14:textFill>
                  <w14:solidFill>
                    <w14:schemeClr w14:val="tx1"/>
                  </w14:solidFill>
                </w14:textFill>
              </w:rPr>
              <w:t>50%</w:t>
            </w:r>
            <w:r>
              <w:rPr>
                <w:color w:val="000000" w:themeColor="text1"/>
                <w:sz w:val="18"/>
                <w:highlight w:val="none"/>
                <w14:textFill>
                  <w14:solidFill>
                    <w14:schemeClr w14:val="tx1"/>
                  </w14:solidFill>
                </w14:textFill>
              </w:rPr>
              <w:t>，且伴有胰岛素依赖</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s550.328;b5408.4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腹部损伤导致胰头、十二指肠切除</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s550.226, s5400A.419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腹部损伤导致胰切除大于等于 </w:t>
            </w:r>
            <w:r>
              <w:rPr>
                <w:rFonts w:ascii="Times New Roman" w:eastAsia="Times New Roman"/>
                <w:color w:val="000000" w:themeColor="text1"/>
                <w:sz w:val="18"/>
                <w:highlight w:val="none"/>
                <w14:textFill>
                  <w14:solidFill>
                    <w14:schemeClr w14:val="tx1"/>
                  </w14:solidFill>
                </w14:textFill>
              </w:rPr>
              <w:t>50%</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s550.328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3" w:type="dxa"/>
            <w:vAlign w:val="top"/>
          </w:tcPr>
          <w:p>
            <w:pPr>
              <w:pStyle w:val="24"/>
              <w:spacing w:before="12" w:line="210"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腹部损伤导致胰部分切除</w:t>
            </w:r>
          </w:p>
        </w:tc>
        <w:tc>
          <w:tcPr>
            <w:tcW w:w="849" w:type="dxa"/>
            <w:vAlign w:val="top"/>
          </w:tcPr>
          <w:p>
            <w:pPr>
              <w:pStyle w:val="24"/>
              <w:spacing w:before="12" w:line="210"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8"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s550.128</w:t>
            </w:r>
          </w:p>
        </w:tc>
      </w:tr>
    </w:tbl>
    <w:p>
      <w:pPr>
        <w:pStyle w:val="8"/>
        <w:spacing w:before="4"/>
        <w:rPr>
          <w:rFonts w:ascii="黑体"/>
          <w:color w:val="000000" w:themeColor="text1"/>
          <w:sz w:val="8"/>
          <w:highlight w:val="none"/>
          <w14:textFill>
            <w14:solidFill>
              <w14:schemeClr w14:val="tx1"/>
            </w14:solidFill>
          </w14:textFill>
        </w:rPr>
      </w:pPr>
    </w:p>
    <w:p>
      <w:pPr>
        <w:pStyle w:val="20"/>
        <w:numPr>
          <w:ilvl w:val="2"/>
          <w:numId w:val="13"/>
        </w:numPr>
        <w:tabs>
          <w:tab w:val="left" w:pos="1128"/>
        </w:tabs>
        <w:autoSpaceDE w:val="0"/>
        <w:autoSpaceDN w:val="0"/>
        <w:spacing w:before="72" w:after="0"/>
        <w:ind w:left="1127" w:hanging="631"/>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肝结构损伤</w:t>
      </w:r>
    </w:p>
    <w:p>
      <w:pPr>
        <w:pStyle w:val="8"/>
        <w:spacing w:before="12"/>
        <w:rPr>
          <w:rFonts w:ascii="黑体"/>
          <w:color w:val="000000" w:themeColor="text1"/>
          <w:sz w:val="9"/>
          <w:highlight w:val="none"/>
          <w14:textFill>
            <w14:solidFill>
              <w14:schemeClr w14:val="tx1"/>
            </w14:solidFill>
          </w14:textFill>
        </w:rPr>
      </w:pPr>
    </w:p>
    <w:p>
      <w:pPr>
        <w:pStyle w:val="8"/>
        <w:spacing w:before="72" w:after="20"/>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表22</w:t>
      </w: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3"/>
        <w:gridCol w:w="84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ind w:left="2651" w:right="264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49" w:type="dxa"/>
            <w:vAlign w:val="top"/>
          </w:tcPr>
          <w:p>
            <w:pPr>
              <w:pStyle w:val="24"/>
              <w:spacing w:before="12" w:line="208" w:lineRule="exact"/>
              <w:ind w:left="2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9" w:right="93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腹部损伤导致肝切除大于等于 </w:t>
            </w:r>
            <w:r>
              <w:rPr>
                <w:rFonts w:ascii="Times New Roman" w:eastAsia="Times New Roman"/>
                <w:color w:val="000000" w:themeColor="text1"/>
                <w:sz w:val="18"/>
                <w:highlight w:val="none"/>
                <w14:textFill>
                  <w14:solidFill>
                    <w14:schemeClr w14:val="tx1"/>
                  </w14:solidFill>
                </w14:textFill>
              </w:rPr>
              <w:t>75%</w:t>
            </w:r>
          </w:p>
        </w:tc>
        <w:tc>
          <w:tcPr>
            <w:tcW w:w="849"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s560.328Y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腹部损伤导致肝切除大于等于 </w:t>
            </w:r>
            <w:r>
              <w:rPr>
                <w:rFonts w:ascii="Times New Roman" w:eastAsia="Times New Roman"/>
                <w:color w:val="000000" w:themeColor="text1"/>
                <w:sz w:val="18"/>
                <w:highlight w:val="none"/>
                <w14:textFill>
                  <w14:solidFill>
                    <w14:schemeClr w14:val="tx1"/>
                  </w14:solidFill>
                </w14:textFill>
              </w:rPr>
              <w:t>50%</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s560.328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腹部损伤导致肝部分切除</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s560.128</w:t>
            </w:r>
          </w:p>
        </w:tc>
      </w:tr>
    </w:tbl>
    <w:p>
      <w:pPr>
        <w:pStyle w:val="20"/>
        <w:numPr>
          <w:ilvl w:val="1"/>
          <w:numId w:val="13"/>
        </w:numPr>
        <w:tabs>
          <w:tab w:val="left" w:pos="867"/>
        </w:tabs>
        <w:autoSpaceDE w:val="0"/>
        <w:autoSpaceDN w:val="0"/>
        <w:spacing w:before="178" w:after="0"/>
        <w:jc w:val="left"/>
        <w:rPr>
          <w:rFonts w:eastAsia="Times New Roman"/>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泌尿和生殖系统有关的结构和功能</w:t>
      </w:r>
    </w:p>
    <w:p>
      <w:pPr>
        <w:pStyle w:val="8"/>
        <w:spacing w:before="8"/>
        <w:rPr>
          <w:rFonts w:ascii="黑体"/>
          <w:color w:val="000000" w:themeColor="text1"/>
          <w:sz w:val="15"/>
          <w:highlight w:val="none"/>
          <w14:textFill>
            <w14:solidFill>
              <w14:schemeClr w14:val="tx1"/>
            </w14:solidFill>
          </w14:textFill>
        </w:rPr>
      </w:pPr>
    </w:p>
    <w:p>
      <w:pPr>
        <w:pStyle w:val="20"/>
        <w:numPr>
          <w:ilvl w:val="2"/>
          <w:numId w:val="13"/>
        </w:numPr>
        <w:tabs>
          <w:tab w:val="left" w:pos="1230"/>
          <w:tab w:val="left" w:pos="1231"/>
        </w:tabs>
        <w:autoSpaceDE w:val="0"/>
        <w:autoSpaceDN w:val="0"/>
        <w:spacing w:after="0"/>
        <w:ind w:hanging="734"/>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泌尿系统的结构损伤</w:t>
      </w:r>
    </w:p>
    <w:p>
      <w:pPr>
        <w:pStyle w:val="8"/>
        <w:spacing w:before="6"/>
        <w:rPr>
          <w:rFonts w:ascii="黑体"/>
          <w:color w:val="000000" w:themeColor="text1"/>
          <w:sz w:val="15"/>
          <w:highlight w:val="none"/>
          <w14:textFill>
            <w14:solidFill>
              <w14:schemeClr w14:val="tx1"/>
            </w14:solidFill>
          </w14:textFill>
        </w:rPr>
      </w:pPr>
    </w:p>
    <w:p>
      <w:pPr>
        <w:pStyle w:val="8"/>
        <w:spacing w:before="1" w:after="20"/>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表23</w:t>
      </w: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3"/>
        <w:gridCol w:w="84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3" w:type="dxa"/>
            <w:vAlign w:val="top"/>
          </w:tcPr>
          <w:p>
            <w:pPr>
              <w:pStyle w:val="24"/>
              <w:spacing w:before="14" w:line="208" w:lineRule="exact"/>
              <w:ind w:left="2651" w:right="264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49" w:type="dxa"/>
            <w:vAlign w:val="top"/>
          </w:tcPr>
          <w:p>
            <w:pPr>
              <w:pStyle w:val="24"/>
              <w:spacing w:before="14" w:line="208" w:lineRule="exact"/>
              <w:ind w:left="2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4" w:line="208" w:lineRule="exact"/>
              <w:ind w:left="949" w:right="93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腹部损伤导致双侧肾切除</w:t>
            </w:r>
          </w:p>
        </w:tc>
        <w:tc>
          <w:tcPr>
            <w:tcW w:w="849"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腹部损伤导致孤肾切除</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s6100A.411/2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骨盆部损伤导致双侧输尿管缺失</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s6101.413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骨盆部损伤导致双侧输尿管闭锁</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s6101.453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骨盆部损伤导致一侧输尿管缺失，另一侧输尿管闭锁</w:t>
            </w:r>
          </w:p>
        </w:tc>
        <w:tc>
          <w:tcPr>
            <w:tcW w:w="849"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s6101.411/2, s6101.452/1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3"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骨盆部损伤导致膀胱切除</w:t>
            </w:r>
          </w:p>
        </w:tc>
        <w:tc>
          <w:tcPr>
            <w:tcW w:w="849" w:type="dxa"/>
            <w:vAlign w:val="top"/>
          </w:tcPr>
          <w:p>
            <w:pPr>
              <w:pStyle w:val="24"/>
              <w:spacing w:before="14"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s6102.419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骨盆部损伤导致尿道闭锁</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s6103.459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骨盆部损伤一侧输尿管缺失，另一侧输尿管严重狭窄</w:t>
            </w:r>
          </w:p>
        </w:tc>
        <w:tc>
          <w:tcPr>
            <w:tcW w:w="849"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s6101.411/2, s6101.342/1</w:t>
            </w:r>
          </w:p>
        </w:tc>
      </w:tr>
    </w:tbl>
    <w:p>
      <w:pPr>
        <w:spacing w:line="196" w:lineRule="exact"/>
        <w:rPr>
          <w:color w:val="000000" w:themeColor="text1"/>
          <w:sz w:val="18"/>
          <w:highlight w:val="none"/>
          <w14:textFill>
            <w14:solidFill>
              <w14:schemeClr w14:val="tx1"/>
            </w14:solidFill>
          </w14:textFill>
        </w:rPr>
        <w:sectPr>
          <w:headerReference r:id="rId12" w:type="default"/>
          <w:headerReference r:id="rId13" w:type="even"/>
          <w:pgSz w:w="11910" w:h="16840"/>
          <w:pgMar w:top="1920" w:right="700" w:bottom="1340" w:left="920" w:header="1441" w:footer="1140" w:gutter="0"/>
          <w:cols w:space="720" w:num="1"/>
        </w:sectPr>
      </w:pPr>
    </w:p>
    <w:p>
      <w:pPr>
        <w:pStyle w:val="8"/>
        <w:spacing w:before="11"/>
        <w:rPr>
          <w:rFonts w:ascii="黑体"/>
          <w:color w:val="000000" w:themeColor="text1"/>
          <w:sz w:val="3"/>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page">
                  <wp:posOffset>650240</wp:posOffset>
                </wp:positionH>
                <wp:positionV relativeFrom="page">
                  <wp:posOffset>1216025</wp:posOffset>
                </wp:positionV>
                <wp:extent cx="6078855" cy="635"/>
                <wp:effectExtent l="0" t="0" r="0" b="0"/>
                <wp:wrapNone/>
                <wp:docPr id="112" name="直接连接符 112"/>
                <wp:cNvGraphicFramePr/>
                <a:graphic xmlns:a="http://schemas.openxmlformats.org/drawingml/2006/main">
                  <a:graphicData uri="http://schemas.microsoft.com/office/word/2010/wordprocessingShape">
                    <wps:wsp>
                      <wps:cNvCnPr/>
                      <wps:spPr>
                        <a:xfrm>
                          <a:off x="0" y="0"/>
                          <a:ext cx="6078855" cy="6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2pt;margin-top:95.75pt;height:0.05pt;width:478.65pt;mso-position-horizontal-relative:page;mso-position-vertical-relative:page;z-index:251675648;mso-width-relative:page;mso-height-relative:page;" filled="f" stroked="t" coordsize="21600,21600" o:gfxdata="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hRODaAAAADAEAAA8AAAAAAAAAAQAgAAAAIgAAAGRycy9kb3ducmV2Lnht&#10;bFBLAQIUABQAAAAIAIdO4kB8RIGv9wEAAOoDAAAOAAAAAAAAAAEAIAAAACkBAABkcnMvZTJvRG9j&#10;LnhtbFBLBQYAAAAABgAGAFkBAACSBQAAAAA=&#10;">
                <v:fill on="f" focussize="0,0"/>
                <v:stroke weight="0.48pt" color="#000000" joinstyle="round"/>
                <v:imagedata o:title=""/>
                <o:lock v:ext="edit" aspectratio="f"/>
              </v:line>
            </w:pict>
          </mc:Fallback>
        </mc:AlternateConten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before="12" w:line="208" w:lineRule="exact"/>
              <w:ind w:left="2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骨盆部损伤一侧输尿管闭锁，另一侧输尿管严重狭窄</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s6101.451/2, s6101.342/1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4"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腹部损伤导致一侧肾切除</w:t>
            </w:r>
          </w:p>
        </w:tc>
        <w:tc>
          <w:tcPr>
            <w:tcW w:w="850" w:type="dxa"/>
            <w:vAlign w:val="top"/>
          </w:tcPr>
          <w:p>
            <w:pPr>
              <w:pStyle w:val="24"/>
              <w:spacing w:before="14"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s6100.411/2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骨盆部损伤双侧输尿管严重狭窄</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s6101.343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骨盆部损伤一侧输尿管缺失，另一侧输尿管狭窄</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s6101.411/2, s6101.242/1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骨盆部损伤一侧输尿管闭锁，另一侧输尿管狭窄</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s6101.451/2, s6101.242/1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腹部损伤导致一侧肾部分切除</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s6100.121/2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骨盆部损伤一侧输尿管缺失</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s6101.411/2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4"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骨盆部损伤一侧输尿管闭锁</w:t>
            </w:r>
          </w:p>
        </w:tc>
        <w:tc>
          <w:tcPr>
            <w:tcW w:w="850" w:type="dxa"/>
            <w:vAlign w:val="top"/>
          </w:tcPr>
          <w:p>
            <w:pPr>
              <w:pStyle w:val="24"/>
              <w:spacing w:before="14"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s6101.451/2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骨盆部损伤导致尿道狭窄</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s6103.248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骨盆部损伤导致膀胱部分切除</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s6102.128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腹部损伤导致肾破裂修补</w:t>
            </w:r>
          </w:p>
        </w:tc>
        <w:tc>
          <w:tcPr>
            <w:tcW w:w="850" w:type="dxa"/>
            <w:vAlign w:val="top"/>
          </w:tcPr>
          <w:p>
            <w:pPr>
              <w:pStyle w:val="24"/>
              <w:spacing w:before="12"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4"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s6100.148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骨盆部损伤一侧输尿管严重狭窄</w:t>
            </w:r>
          </w:p>
        </w:tc>
        <w:tc>
          <w:tcPr>
            <w:tcW w:w="850" w:type="dxa"/>
            <w:vAlign w:val="top"/>
          </w:tcPr>
          <w:p>
            <w:pPr>
              <w:pStyle w:val="24"/>
              <w:spacing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s6101.341/2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4" w:type="dxa"/>
            <w:vAlign w:val="top"/>
          </w:tcPr>
          <w:p>
            <w:pPr>
              <w:pStyle w:val="24"/>
              <w:spacing w:line="210"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骨盆部损伤膀胱破裂修补</w:t>
            </w:r>
          </w:p>
        </w:tc>
        <w:tc>
          <w:tcPr>
            <w:tcW w:w="850" w:type="dxa"/>
            <w:vAlign w:val="top"/>
          </w:tcPr>
          <w:p>
            <w:pPr>
              <w:pStyle w:val="24"/>
              <w:spacing w:line="210"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8"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s6102.148</w:t>
            </w:r>
          </w:p>
        </w:tc>
      </w:tr>
    </w:tbl>
    <w:p>
      <w:pPr>
        <w:pStyle w:val="8"/>
        <w:spacing w:before="4"/>
        <w:rPr>
          <w:rFonts w:ascii="黑体"/>
          <w:color w:val="000000" w:themeColor="text1"/>
          <w:sz w:val="8"/>
          <w:highlight w:val="none"/>
          <w14:textFill>
            <w14:solidFill>
              <w14:schemeClr w14:val="tx1"/>
            </w14:solidFill>
          </w14:textFill>
        </w:rPr>
      </w:pPr>
    </w:p>
    <w:p>
      <w:pPr>
        <w:pStyle w:val="20"/>
        <w:numPr>
          <w:ilvl w:val="2"/>
          <w:numId w:val="13"/>
        </w:numPr>
        <w:tabs>
          <w:tab w:val="left" w:pos="947"/>
          <w:tab w:val="left" w:pos="948"/>
        </w:tabs>
        <w:autoSpaceDE w:val="0"/>
        <w:autoSpaceDN w:val="0"/>
        <w:spacing w:before="72" w:after="0"/>
        <w:ind w:left="947"/>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生殖系统的结构损伤</w:t>
      </w:r>
    </w:p>
    <w:p>
      <w:pPr>
        <w:pStyle w:val="8"/>
        <w:spacing w:before="12"/>
        <w:rPr>
          <w:rFonts w:ascii="黑体"/>
          <w:color w:val="000000" w:themeColor="text1"/>
          <w:sz w:val="9"/>
          <w:highlight w:val="none"/>
          <w14:textFill>
            <w14:solidFill>
              <w14:schemeClr w14:val="tx1"/>
            </w14:solidFill>
          </w14:textFill>
        </w:rPr>
      </w:pPr>
    </w:p>
    <w:p>
      <w:pPr>
        <w:pStyle w:val="8"/>
        <w:spacing w:before="72" w:after="20"/>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表24</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before="12" w:line="208" w:lineRule="exact"/>
              <w:ind w:left="2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会阴部损伤导致双侧睾丸缺失</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s6304.413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会阴部损伤导致双侧睾丸完全萎缩</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s6304.443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会阴部损伤导致一侧睾丸缺失，另一侧睾丸完全萎缩</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s6304.411/2, s6304.442/1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会阴部损伤导致阴茎体完全缺失</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s63051.419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4"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会阴部损伤导致阴道闭锁</w:t>
            </w:r>
          </w:p>
        </w:tc>
        <w:tc>
          <w:tcPr>
            <w:tcW w:w="850" w:type="dxa"/>
            <w:vAlign w:val="top"/>
          </w:tcPr>
          <w:p>
            <w:pPr>
              <w:pStyle w:val="24"/>
              <w:spacing w:before="14"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s63033.257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会阴部损伤导致阴茎体缺失大于 </w:t>
            </w:r>
            <w:r>
              <w:rPr>
                <w:rFonts w:ascii="Times New Roman" w:eastAsia="Times New Roman"/>
                <w:color w:val="000000" w:themeColor="text1"/>
                <w:sz w:val="18"/>
                <w:highlight w:val="none"/>
                <w14:textFill>
                  <w14:solidFill>
                    <w14:schemeClr w14:val="tx1"/>
                  </w14:solidFill>
                </w14:textFill>
              </w:rPr>
              <w:t>50%</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s63051.324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会阴部损伤导致双侧输精管缺失</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4"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s6308.413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会阴部损伤导致双侧输精管闭锁</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s6308.453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会阴部损伤导致一侧输精管缺失，另一侧输精管闭锁</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s6308.411/2, s6308.452/1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骨盆部损伤导致子宫切除</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s6301.419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4"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胸部损伤导致女性双侧乳房缺失</w:t>
            </w:r>
          </w:p>
        </w:tc>
        <w:tc>
          <w:tcPr>
            <w:tcW w:w="850" w:type="dxa"/>
            <w:vAlign w:val="top"/>
          </w:tcPr>
          <w:p>
            <w:pPr>
              <w:pStyle w:val="24"/>
              <w:spacing w:before="14"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s6302.413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胸部损伤导致女性一侧乳房缺失，另一侧乳房部分缺失</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s6302.411/2, s6302.221/2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骨盆部损伤导致子宫部分切除</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s6301.228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胸部损伤导致女性一侧乳房缺失</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s6302.411/2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骨盆部损伤导致子宫破裂修补</w:t>
            </w:r>
          </w:p>
        </w:tc>
        <w:tc>
          <w:tcPr>
            <w:tcW w:w="850" w:type="dxa"/>
            <w:vAlign w:val="top"/>
          </w:tcPr>
          <w:p>
            <w:pPr>
              <w:pStyle w:val="24"/>
              <w:spacing w:before="12"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s6301.148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会阴部损伤导致一侧睾丸缺失</w:t>
            </w:r>
          </w:p>
        </w:tc>
        <w:tc>
          <w:tcPr>
            <w:tcW w:w="850" w:type="dxa"/>
            <w:vAlign w:val="top"/>
          </w:tcPr>
          <w:p>
            <w:pPr>
              <w:pStyle w:val="24"/>
              <w:spacing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s6304.411/2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4"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会阴部损伤导致一侧睾丸完全萎缩</w:t>
            </w:r>
          </w:p>
        </w:tc>
        <w:tc>
          <w:tcPr>
            <w:tcW w:w="850" w:type="dxa"/>
            <w:vAlign w:val="top"/>
          </w:tcPr>
          <w:p>
            <w:pPr>
              <w:pStyle w:val="24"/>
              <w:spacing w:before="14"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s6304.441/2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会阴部损伤导致一侧输精管缺失</w:t>
            </w:r>
          </w:p>
        </w:tc>
        <w:tc>
          <w:tcPr>
            <w:tcW w:w="850" w:type="dxa"/>
            <w:vAlign w:val="top"/>
          </w:tcPr>
          <w:p>
            <w:pPr>
              <w:pStyle w:val="24"/>
              <w:spacing w:before="12"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s6308.411/2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会阴部损伤导致一侧输精管闭锁</w:t>
            </w:r>
          </w:p>
        </w:tc>
        <w:tc>
          <w:tcPr>
            <w:tcW w:w="850" w:type="dxa"/>
            <w:vAlign w:val="top"/>
          </w:tcPr>
          <w:p>
            <w:pPr>
              <w:pStyle w:val="24"/>
              <w:spacing w:before="12"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s6308.451/2</w:t>
            </w:r>
          </w:p>
        </w:tc>
      </w:tr>
    </w:tbl>
    <w:p>
      <w:pPr>
        <w:pStyle w:val="20"/>
        <w:numPr>
          <w:ilvl w:val="1"/>
          <w:numId w:val="14"/>
        </w:numPr>
        <w:tabs>
          <w:tab w:val="left" w:pos="583"/>
        </w:tabs>
        <w:autoSpaceDE w:val="0"/>
        <w:autoSpaceDN w:val="0"/>
        <w:spacing w:before="179" w:after="0"/>
        <w:ind w:hanging="37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神经肌肉骨骼和运动有关的结构和功能</w:t>
      </w:r>
    </w:p>
    <w:p>
      <w:pPr>
        <w:pStyle w:val="8"/>
        <w:spacing w:before="7"/>
        <w:rPr>
          <w:rFonts w:ascii="黑体"/>
          <w:color w:val="000000" w:themeColor="text1"/>
          <w:sz w:val="15"/>
          <w:highlight w:val="none"/>
          <w14:textFill>
            <w14:solidFill>
              <w14:schemeClr w14:val="tx1"/>
            </w14:solidFill>
          </w14:textFill>
        </w:rPr>
      </w:pPr>
    </w:p>
    <w:p>
      <w:pPr>
        <w:pStyle w:val="20"/>
        <w:numPr>
          <w:ilvl w:val="2"/>
          <w:numId w:val="14"/>
        </w:numPr>
        <w:tabs>
          <w:tab w:val="left" w:pos="845"/>
        </w:tabs>
        <w:autoSpaceDE w:val="0"/>
        <w:autoSpaceDN w:val="0"/>
        <w:spacing w:after="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头颈部的结构损伤</w:t>
      </w:r>
    </w:p>
    <w:p>
      <w:pPr>
        <w:pStyle w:val="8"/>
        <w:spacing w:before="6"/>
        <w:rPr>
          <w:rFonts w:ascii="黑体"/>
          <w:color w:val="000000" w:themeColor="text1"/>
          <w:sz w:val="15"/>
          <w:highlight w:val="none"/>
          <w14:textFill>
            <w14:solidFill>
              <w14:schemeClr w14:val="tx1"/>
            </w14:solidFill>
          </w14:textFill>
        </w:rPr>
      </w:pPr>
    </w:p>
    <w:p>
      <w:pPr>
        <w:pStyle w:val="8"/>
        <w:spacing w:before="1" w:after="20"/>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表25</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双侧上颌骨完全缺失</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s7101A.413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4"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一侧上颌骨及对侧下颌骨完全缺失</w:t>
            </w:r>
          </w:p>
        </w:tc>
        <w:tc>
          <w:tcPr>
            <w:tcW w:w="850" w:type="dxa"/>
            <w:vAlign w:val="top"/>
          </w:tcPr>
          <w:p>
            <w:pPr>
              <w:pStyle w:val="24"/>
              <w:spacing w:before="14"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s7101A.411/2, s7101B.412/1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双侧下颌骨完全缺失</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s7101B.413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一侧上颌骨完全缺失</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s7101A.411/2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同侧上、下颌骨完全缺失</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s7101A.411/2, s7101B.411/2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一侧下颌骨完全缺失</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s7101B.411/2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064" w:type="dxa"/>
            <w:vAlign w:val="top"/>
          </w:tcPr>
          <w:p>
            <w:pPr>
              <w:pStyle w:val="24"/>
              <w:spacing w:before="13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上颌骨、下颌骨缺损，且牙齿脱落大于等于 </w:t>
            </w:r>
            <w:r>
              <w:rPr>
                <w:rFonts w:ascii="Times New Roman" w:eastAsia="Times New Roman"/>
                <w:color w:val="000000" w:themeColor="text1"/>
                <w:sz w:val="18"/>
                <w:highlight w:val="none"/>
                <w14:textFill>
                  <w14:solidFill>
                    <w14:schemeClr w14:val="tx1"/>
                  </w14:solidFill>
                </w14:textFill>
              </w:rPr>
              <w:t xml:space="preserve">24 </w:t>
            </w:r>
            <w:r>
              <w:rPr>
                <w:color w:val="000000" w:themeColor="text1"/>
                <w:sz w:val="18"/>
                <w:highlight w:val="none"/>
                <w14:textFill>
                  <w14:solidFill>
                    <w14:schemeClr w14:val="tx1"/>
                  </w14:solidFill>
                </w14:textFill>
              </w:rPr>
              <w:t>枚</w:t>
            </w:r>
          </w:p>
        </w:tc>
        <w:tc>
          <w:tcPr>
            <w:tcW w:w="850" w:type="dxa"/>
            <w:vAlign w:val="top"/>
          </w:tcPr>
          <w:p>
            <w:pPr>
              <w:pStyle w:val="24"/>
              <w:spacing w:before="131"/>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s7101A.323, s7101B.323,</w:t>
            </w:r>
          </w:p>
          <w:p>
            <w:pPr>
              <w:pStyle w:val="24"/>
              <w:spacing w:before="33" w:line="198"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s3200.320Y</w:t>
            </w:r>
          </w:p>
        </w:tc>
      </w:tr>
    </w:tbl>
    <w:p>
      <w:pPr>
        <w:spacing w:line="198" w:lineRule="exact"/>
        <w:rPr>
          <w:color w:val="000000" w:themeColor="text1"/>
          <w:sz w:val="18"/>
          <w:highlight w:val="none"/>
          <w14:textFill>
            <w14:solidFill>
              <w14:schemeClr w14:val="tx1"/>
            </w14:solidFill>
          </w14:textFill>
        </w:rPr>
        <w:sectPr>
          <w:pgSz w:w="11910" w:h="16840"/>
          <w:pgMar w:top="2180" w:right="700" w:bottom="1340" w:left="920" w:header="1441" w:footer="1140" w:gutter="0"/>
          <w:cols w:space="720" w:num="1"/>
        </w:sectPr>
      </w:pPr>
    </w:p>
    <w:p>
      <w:pPr>
        <w:pStyle w:val="8"/>
        <w:spacing w:before="4"/>
        <w:rPr>
          <w:rFonts w:ascii="黑体"/>
          <w:color w:val="000000" w:themeColor="text1"/>
          <w:sz w:val="18"/>
          <w:highlight w:val="none"/>
          <w14:textFill>
            <w14:solidFill>
              <w14:schemeClr w14:val="tx1"/>
            </w14:solidFill>
          </w14:textFill>
        </w:rPr>
      </w:pPr>
    </w:p>
    <w:p>
      <w:pPr>
        <w:pStyle w:val="8"/>
        <w:spacing w:line="20" w:lineRule="exact"/>
        <w:ind w:left="383"/>
        <w:rPr>
          <w:rFonts w:ascii="黑体"/>
          <w:color w:val="000000" w:themeColor="text1"/>
          <w:sz w:val="2"/>
          <w:highlight w:val="none"/>
          <w14:textFill>
            <w14:solidFill>
              <w14:schemeClr w14:val="tx1"/>
            </w14:solidFill>
          </w14:textFill>
        </w:rPr>
      </w:pPr>
      <w:r>
        <w:rPr>
          <w:rFonts w:ascii="黑体"/>
          <w:color w:val="000000" w:themeColor="text1"/>
          <w:sz w:val="2"/>
          <w:highlight w:val="none"/>
          <w:lang w:val="en-US" w:bidi="ar-SA"/>
          <w14:textFill>
            <w14:solidFill>
              <w14:schemeClr w14:val="tx1"/>
            </w14:solidFill>
          </w14:textFill>
        </w:rPr>
        <mc:AlternateContent>
          <mc:Choice Requires="wpg">
            <w:drawing>
              <wp:inline distT="0" distB="0" distL="114300" distR="114300">
                <wp:extent cx="6079490" cy="6350"/>
                <wp:effectExtent l="0" t="0" r="0" b="0"/>
                <wp:docPr id="77" name="组合 77"/>
                <wp:cNvGraphicFramePr/>
                <a:graphic xmlns:a="http://schemas.openxmlformats.org/drawingml/2006/main">
                  <a:graphicData uri="http://schemas.microsoft.com/office/word/2010/wordprocessingGroup">
                    <wpg:wgp>
                      <wpg:cNvGrpSpPr>
                        <a:grpSpLocks noRot="1"/>
                      </wpg:cNvGrpSpPr>
                      <wpg:grpSpPr>
                        <a:xfrm>
                          <a:off x="0" y="0"/>
                          <a:ext cx="6079490" cy="6350"/>
                          <a:chOff x="0" y="0"/>
                          <a:chExt cx="9574" cy="0"/>
                        </a:xfrm>
                      </wpg:grpSpPr>
                      <wps:wsp>
                        <wps:cNvPr id="76" name="直接连接符 76"/>
                        <wps:cNvCnPr/>
                        <wps:spPr>
                          <a:xfrm>
                            <a:off x="0" y="0"/>
                            <a:ext cx="9574"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78.7pt;" coordsize="9574,0" o:gfxdata="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uEs&#10;sdQAAAADAQAADwAAAAAAAAABACAAAAAiAAAAZHJzL2Rvd25yZXYueG1sUEsBAhQAFAAAAAgAh07i&#10;QNMkkd9fAgAAMwUAAA4AAAAAAAAAAQAgAAAAIwEAAGRycy9lMm9Eb2MueG1sUEsFBgAAAAAGAAYA&#10;WQEAAPQFAAAAAA==&#10;">
                <o:lock v:ext="edit" rotation="t" aspectratio="f"/>
                <v:line id="_x0000_s1026" o:spid="_x0000_s1026" o:spt="20" style="position:absolute;left:0;top:0;height:0;width:9574;" filled="f" stroked="t" coordsize="21600,21600" o:gfxdata="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wlV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none"/>
                <w10:anchorlock/>
              </v:group>
            </w:pict>
          </mc:Fallback>
        </mc:AlternateContent>
      </w:r>
    </w:p>
    <w:p>
      <w:pPr>
        <w:pStyle w:val="8"/>
        <w:spacing w:before="12" w:after="21"/>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续表25</w:t>
      </w: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3"/>
        <w:gridCol w:w="84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ind w:left="2651" w:right="264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9" w:right="93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一侧上颌骨缺损大于等于 </w:t>
            </w:r>
            <w:r>
              <w:rPr>
                <w:rFonts w:ascii="Times New Roman" w:eastAsia="Times New Roman"/>
                <w:color w:val="000000" w:themeColor="text1"/>
                <w:sz w:val="18"/>
                <w:highlight w:val="none"/>
                <w14:textFill>
                  <w14:solidFill>
                    <w14:schemeClr w14:val="tx1"/>
                  </w14:solidFill>
                </w14:textFill>
              </w:rPr>
              <w:t>50%</w:t>
            </w:r>
            <w:r>
              <w:rPr>
                <w:color w:val="000000" w:themeColor="text1"/>
                <w:sz w:val="18"/>
                <w:highlight w:val="none"/>
                <w14:textFill>
                  <w14:solidFill>
                    <w14:schemeClr w14:val="tx1"/>
                  </w14:solidFill>
                </w14:textFill>
              </w:rPr>
              <w:t xml:space="preserve">，且口腔、颜面部软组织缺损大于 </w:t>
            </w:r>
            <w:r>
              <w:rPr>
                <w:rFonts w:ascii="Times New Roman" w:eastAsia="Times New Roman"/>
                <w:color w:val="000000" w:themeColor="text1"/>
                <w:sz w:val="18"/>
                <w:highlight w:val="none"/>
                <w14:textFill>
                  <w14:solidFill>
                    <w14:schemeClr w14:val="tx1"/>
                  </w14:solidFill>
                </w14:textFill>
              </w:rPr>
              <w:t>20cm</w:t>
            </w:r>
            <w:r>
              <w:rPr>
                <w:rFonts w:ascii="Times New Roman" w:eastAsia="Times New Roman"/>
                <w:color w:val="000000" w:themeColor="text1"/>
                <w:sz w:val="18"/>
                <w:highlight w:val="none"/>
                <w:vertAlign w:val="superscript"/>
                <w14:textFill>
                  <w14:solidFill>
                    <w14:schemeClr w14:val="tx1"/>
                  </w14:solidFill>
                </w14:textFill>
              </w:rPr>
              <w:t>2</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s7101A.321/2, s7108.328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3" w:type="dxa"/>
            <w:vAlign w:val="top"/>
          </w:tcPr>
          <w:p>
            <w:pPr>
              <w:pStyle w:val="24"/>
              <w:spacing w:before="14"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一侧下颌骨缺损大于等于 </w:t>
            </w:r>
            <w:r>
              <w:rPr>
                <w:rFonts w:ascii="Times New Roman" w:eastAsia="Times New Roman"/>
                <w:color w:val="000000" w:themeColor="text1"/>
                <w:sz w:val="18"/>
                <w:highlight w:val="none"/>
                <w14:textFill>
                  <w14:solidFill>
                    <w14:schemeClr w14:val="tx1"/>
                  </w14:solidFill>
                </w14:textFill>
              </w:rPr>
              <w:t>6cm</w:t>
            </w:r>
            <w:r>
              <w:rPr>
                <w:color w:val="000000" w:themeColor="text1"/>
                <w:sz w:val="18"/>
                <w:highlight w:val="none"/>
                <w14:textFill>
                  <w14:solidFill>
                    <w14:schemeClr w14:val="tx1"/>
                  </w14:solidFill>
                </w14:textFill>
              </w:rPr>
              <w:t xml:space="preserve">，且口腔、颜面部软组织缺损大于 </w:t>
            </w:r>
            <w:r>
              <w:rPr>
                <w:rFonts w:ascii="Times New Roman" w:eastAsia="Times New Roman"/>
                <w:color w:val="000000" w:themeColor="text1"/>
                <w:sz w:val="18"/>
                <w:highlight w:val="none"/>
                <w14:textFill>
                  <w14:solidFill>
                    <w14:schemeClr w14:val="tx1"/>
                  </w14:solidFill>
                </w14:textFill>
              </w:rPr>
              <w:t>20cm</w:t>
            </w:r>
            <w:r>
              <w:rPr>
                <w:rFonts w:ascii="Times New Roman" w:eastAsia="Times New Roman"/>
                <w:color w:val="000000" w:themeColor="text1"/>
                <w:sz w:val="18"/>
                <w:highlight w:val="none"/>
                <w:vertAlign w:val="superscript"/>
                <w14:textFill>
                  <w14:solidFill>
                    <w14:schemeClr w14:val="tx1"/>
                  </w14:solidFill>
                </w14:textFill>
              </w:rPr>
              <w:t>2</w:t>
            </w:r>
          </w:p>
        </w:tc>
        <w:tc>
          <w:tcPr>
            <w:tcW w:w="849" w:type="dxa"/>
            <w:vAlign w:val="top"/>
          </w:tcPr>
          <w:p>
            <w:pPr>
              <w:pStyle w:val="24"/>
              <w:spacing w:before="14"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s7101B.321/2, s7108.328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面颊部洞穿性缺损大于 </w:t>
            </w:r>
            <w:r>
              <w:rPr>
                <w:rFonts w:ascii="Times New Roman" w:eastAsia="Times New Roman"/>
                <w:color w:val="000000" w:themeColor="text1"/>
                <w:sz w:val="18"/>
                <w:highlight w:val="none"/>
                <w14:textFill>
                  <w14:solidFill>
                    <w14:schemeClr w14:val="tx1"/>
                  </w14:solidFill>
                </w14:textFill>
              </w:rPr>
              <w:t>20cm</w:t>
            </w:r>
            <w:r>
              <w:rPr>
                <w:rFonts w:ascii="Times New Roman" w:eastAsia="Times New Roman"/>
                <w:color w:val="000000" w:themeColor="text1"/>
                <w:sz w:val="18"/>
                <w:highlight w:val="none"/>
                <w:vertAlign w:val="superscript"/>
                <w14:textFill>
                  <w14:solidFill>
                    <w14:schemeClr w14:val="tx1"/>
                  </w14:solidFill>
                </w14:textFill>
              </w:rPr>
              <w:t>2</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s7108.328, s8100B.358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pacing w:val="-5"/>
                <w:sz w:val="18"/>
                <w:highlight w:val="none"/>
                <w14:textFill>
                  <w14:solidFill>
                    <w14:schemeClr w14:val="tx1"/>
                  </w14:solidFill>
                </w14:textFill>
              </w:rPr>
              <w:t xml:space="preserve">一侧上颌骨缺损大于 </w:t>
            </w:r>
            <w:r>
              <w:rPr>
                <w:rFonts w:ascii="Times New Roman" w:eastAsia="Times New Roman"/>
                <w:color w:val="000000" w:themeColor="text1"/>
                <w:spacing w:val="1"/>
                <w:sz w:val="18"/>
                <w:highlight w:val="none"/>
                <w14:textFill>
                  <w14:solidFill>
                    <w14:schemeClr w14:val="tx1"/>
                  </w14:solidFill>
                </w14:textFill>
              </w:rPr>
              <w:t>25</w:t>
            </w:r>
            <w:r>
              <w:rPr>
                <w:rFonts w:ascii="Times New Roman" w:eastAsia="Times New Roman"/>
                <w:color w:val="000000" w:themeColor="text1"/>
                <w:spacing w:val="-2"/>
                <w:sz w:val="18"/>
                <w:highlight w:val="none"/>
                <w14:textFill>
                  <w14:solidFill>
                    <w14:schemeClr w14:val="tx1"/>
                  </w14:solidFill>
                </w14:textFill>
              </w:rPr>
              <w:t>%</w:t>
            </w:r>
            <w:r>
              <w:rPr>
                <w:color w:val="000000" w:themeColor="text1"/>
                <w:spacing w:val="-35"/>
                <w:sz w:val="18"/>
                <w:highlight w:val="none"/>
                <w14:textFill>
                  <w14:solidFill>
                    <w14:schemeClr w14:val="tx1"/>
                  </w14:solidFill>
                </w14:textFill>
              </w:rPr>
              <w:t xml:space="preserve">，小于 </w:t>
            </w:r>
            <w:r>
              <w:rPr>
                <w:rFonts w:ascii="Times New Roman" w:eastAsia="Times New Roman"/>
                <w:color w:val="000000" w:themeColor="text1"/>
                <w:spacing w:val="1"/>
                <w:sz w:val="18"/>
                <w:highlight w:val="none"/>
                <w14:textFill>
                  <w14:solidFill>
                    <w14:schemeClr w14:val="tx1"/>
                  </w14:solidFill>
                </w14:textFill>
              </w:rPr>
              <w:t>50</w:t>
            </w:r>
            <w:r>
              <w:rPr>
                <w:rFonts w:ascii="Times New Roman" w:eastAsia="Times New Roman"/>
                <w:color w:val="000000" w:themeColor="text1"/>
                <w:spacing w:val="-2"/>
                <w:sz w:val="18"/>
                <w:highlight w:val="none"/>
                <w14:textFill>
                  <w14:solidFill>
                    <w14:schemeClr w14:val="tx1"/>
                  </w14:solidFill>
                </w14:textFill>
              </w:rPr>
              <w:t>%</w:t>
            </w:r>
            <w:r>
              <w:rPr>
                <w:color w:val="000000" w:themeColor="text1"/>
                <w:spacing w:val="-17"/>
                <w:sz w:val="18"/>
                <w:highlight w:val="none"/>
                <w14:textFill>
                  <w14:solidFill>
                    <w14:schemeClr w14:val="tx1"/>
                  </w14:solidFill>
                </w14:textFill>
              </w:rPr>
              <w:t xml:space="preserve">，且口腔、颜面部软组织缺损大于 </w:t>
            </w:r>
            <w:r>
              <w:rPr>
                <w:rFonts w:ascii="Times New Roman" w:eastAsia="Times New Roman"/>
                <w:color w:val="000000" w:themeColor="text1"/>
                <w:spacing w:val="1"/>
                <w:sz w:val="18"/>
                <w:highlight w:val="none"/>
                <w14:textFill>
                  <w14:solidFill>
                    <w14:schemeClr w14:val="tx1"/>
                  </w14:solidFill>
                </w14:textFill>
              </w:rPr>
              <w:t>10</w:t>
            </w:r>
            <w:r>
              <w:rPr>
                <w:rFonts w:ascii="Times New Roman" w:eastAsia="Times New Roman"/>
                <w:color w:val="000000" w:themeColor="text1"/>
                <w:spacing w:val="-1"/>
                <w:sz w:val="18"/>
                <w:highlight w:val="none"/>
                <w14:textFill>
                  <w14:solidFill>
                    <w14:schemeClr w14:val="tx1"/>
                  </w14:solidFill>
                </w14:textFill>
              </w:rPr>
              <w:t>c</w:t>
            </w:r>
            <w:r>
              <w:rPr>
                <w:rFonts w:ascii="Times New Roman" w:eastAsia="Times New Roman"/>
                <w:color w:val="000000" w:themeColor="text1"/>
                <w:spacing w:val="-3"/>
                <w:sz w:val="18"/>
                <w:highlight w:val="none"/>
                <w14:textFill>
                  <w14:solidFill>
                    <w14:schemeClr w14:val="tx1"/>
                  </w14:solidFill>
                </w14:textFill>
              </w:rPr>
              <w:t>m</w:t>
            </w:r>
            <w:r>
              <w:rPr>
                <w:rFonts w:ascii="Times New Roman" w:eastAsia="Times New Roman"/>
                <w:color w:val="000000" w:themeColor="text1"/>
                <w:w w:val="97"/>
                <w:sz w:val="18"/>
                <w:highlight w:val="none"/>
                <w:vertAlign w:val="superscript"/>
                <w14:textFill>
                  <w14:solidFill>
                    <w14:schemeClr w14:val="tx1"/>
                  </w14:solidFill>
                </w14:textFill>
              </w:rPr>
              <w:t>2</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s7101A.221/2Z, s7108.228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一侧下颌骨缺损大于等于 </w:t>
            </w:r>
            <w:r>
              <w:rPr>
                <w:rFonts w:ascii="Times New Roman" w:eastAsia="Times New Roman"/>
                <w:color w:val="000000" w:themeColor="text1"/>
                <w:sz w:val="18"/>
                <w:highlight w:val="none"/>
                <w14:textFill>
                  <w14:solidFill>
                    <w14:schemeClr w14:val="tx1"/>
                  </w14:solidFill>
                </w14:textFill>
              </w:rPr>
              <w:t>4cm</w:t>
            </w:r>
            <w:r>
              <w:rPr>
                <w:color w:val="000000" w:themeColor="text1"/>
                <w:sz w:val="18"/>
                <w:highlight w:val="none"/>
                <w14:textFill>
                  <w14:solidFill>
                    <w14:schemeClr w14:val="tx1"/>
                  </w14:solidFill>
                </w14:textFill>
              </w:rPr>
              <w:t xml:space="preserve">，且口腔、颜面部软组织缺损大于 </w:t>
            </w:r>
            <w:r>
              <w:rPr>
                <w:rFonts w:ascii="Times New Roman" w:eastAsia="Times New Roman"/>
                <w:color w:val="000000" w:themeColor="text1"/>
                <w:sz w:val="18"/>
                <w:highlight w:val="none"/>
                <w14:textFill>
                  <w14:solidFill>
                    <w14:schemeClr w14:val="tx1"/>
                  </w14:solidFill>
                </w14:textFill>
              </w:rPr>
              <w:t>10cm</w:t>
            </w:r>
            <w:r>
              <w:rPr>
                <w:rFonts w:ascii="Times New Roman" w:eastAsia="Times New Roman"/>
                <w:color w:val="000000" w:themeColor="text1"/>
                <w:sz w:val="18"/>
                <w:highlight w:val="none"/>
                <w:vertAlign w:val="superscript"/>
                <w14:textFill>
                  <w14:solidFill>
                    <w14:schemeClr w14:val="tx1"/>
                  </w14:solidFill>
                </w14:textFill>
              </w:rPr>
              <w:t>2</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s7101B.221/2, s7108.228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3"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上颌骨、下颌骨缺损，且牙齿脱落大于等于 </w:t>
            </w:r>
            <w:r>
              <w:rPr>
                <w:rFonts w:ascii="Times New Roman" w:eastAsia="Times New Roman"/>
                <w:color w:val="000000" w:themeColor="text1"/>
                <w:sz w:val="18"/>
                <w:highlight w:val="none"/>
                <w14:textFill>
                  <w14:solidFill>
                    <w14:schemeClr w14:val="tx1"/>
                  </w14:solidFill>
                </w14:textFill>
              </w:rPr>
              <w:t xml:space="preserve">20 </w:t>
            </w:r>
            <w:r>
              <w:rPr>
                <w:color w:val="000000" w:themeColor="text1"/>
                <w:sz w:val="18"/>
                <w:highlight w:val="none"/>
                <w14:textFill>
                  <w14:solidFill>
                    <w14:schemeClr w14:val="tx1"/>
                  </w14:solidFill>
                </w14:textFill>
              </w:rPr>
              <w:t>枚</w:t>
            </w:r>
          </w:p>
        </w:tc>
        <w:tc>
          <w:tcPr>
            <w:tcW w:w="849" w:type="dxa"/>
            <w:vAlign w:val="top"/>
          </w:tcPr>
          <w:p>
            <w:pPr>
              <w:pStyle w:val="24"/>
              <w:spacing w:before="132"/>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0" w:line="240" w:lineRule="exact"/>
              <w:ind w:left="108" w:right="646"/>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s7101A.323, s7101B.323, s3200.320Z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一侧上颌骨缺损等于 </w:t>
            </w:r>
            <w:r>
              <w:rPr>
                <w:rFonts w:ascii="Times New Roman" w:eastAsia="Times New Roman"/>
                <w:color w:val="000000" w:themeColor="text1"/>
                <w:sz w:val="18"/>
                <w:highlight w:val="none"/>
                <w14:textFill>
                  <w14:solidFill>
                    <w14:schemeClr w14:val="tx1"/>
                  </w14:solidFill>
                </w14:textFill>
              </w:rPr>
              <w:t>25%</w:t>
            </w:r>
            <w:r>
              <w:rPr>
                <w:color w:val="000000" w:themeColor="text1"/>
                <w:sz w:val="18"/>
                <w:highlight w:val="none"/>
                <w14:textFill>
                  <w14:solidFill>
                    <w14:schemeClr w14:val="tx1"/>
                  </w14:solidFill>
                </w14:textFill>
              </w:rPr>
              <w:t xml:space="preserve">，且口腔、颜面部软组织缺损大于 </w:t>
            </w:r>
            <w:r>
              <w:rPr>
                <w:rFonts w:ascii="Times New Roman" w:eastAsia="Times New Roman"/>
                <w:color w:val="000000" w:themeColor="text1"/>
                <w:sz w:val="18"/>
                <w:highlight w:val="none"/>
                <w14:textFill>
                  <w14:solidFill>
                    <w14:schemeClr w14:val="tx1"/>
                  </w14:solidFill>
                </w14:textFill>
              </w:rPr>
              <w:t>10cm</w:t>
            </w:r>
            <w:r>
              <w:rPr>
                <w:rFonts w:ascii="Times New Roman" w:eastAsia="Times New Roman"/>
                <w:color w:val="000000" w:themeColor="text1"/>
                <w:sz w:val="18"/>
                <w:highlight w:val="none"/>
                <w:vertAlign w:val="superscript"/>
                <w14:textFill>
                  <w14:solidFill>
                    <w14:schemeClr w14:val="tx1"/>
                  </w14:solidFill>
                </w14:textFill>
              </w:rPr>
              <w:t>2</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s7101A.221/2, s7108.228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3"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面部软组织缺损大于 </w:t>
            </w:r>
            <w:r>
              <w:rPr>
                <w:rFonts w:ascii="Times New Roman" w:eastAsia="Times New Roman"/>
                <w:color w:val="000000" w:themeColor="text1"/>
                <w:sz w:val="18"/>
                <w:highlight w:val="none"/>
                <w14:textFill>
                  <w14:solidFill>
                    <w14:schemeClr w14:val="tx1"/>
                  </w14:solidFill>
                </w14:textFill>
              </w:rPr>
              <w:t>20cm</w:t>
            </w:r>
            <w:r>
              <w:rPr>
                <w:rFonts w:ascii="Times New Roman" w:eastAsia="Times New Roman"/>
                <w:color w:val="000000" w:themeColor="text1"/>
                <w:sz w:val="18"/>
                <w:highlight w:val="none"/>
                <w:vertAlign w:val="superscript"/>
                <w14:textFill>
                  <w14:solidFill>
                    <w14:schemeClr w14:val="tx1"/>
                  </w14:solidFill>
                </w14:textFill>
              </w:rPr>
              <w:t>2</w:t>
            </w:r>
            <w:r>
              <w:rPr>
                <w:color w:val="000000" w:themeColor="text1"/>
                <w:sz w:val="18"/>
                <w:highlight w:val="none"/>
                <w14:textFill>
                  <w14:solidFill>
                    <w14:schemeClr w14:val="tx1"/>
                  </w14:solidFill>
                </w14:textFill>
              </w:rPr>
              <w:t>，且伴发涎瘘</w:t>
            </w:r>
          </w:p>
        </w:tc>
        <w:tc>
          <w:tcPr>
            <w:tcW w:w="849" w:type="dxa"/>
            <w:vAlign w:val="top"/>
          </w:tcPr>
          <w:p>
            <w:pPr>
              <w:pStyle w:val="24"/>
              <w:spacing w:before="14"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s7108.328, s8100B.258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63"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上颌骨、下颌骨缺损，且牙齿脱落大于等于 </w:t>
            </w:r>
            <w:r>
              <w:rPr>
                <w:rFonts w:ascii="Times New Roman" w:eastAsia="Times New Roman"/>
                <w:color w:val="000000" w:themeColor="text1"/>
                <w:sz w:val="18"/>
                <w:highlight w:val="none"/>
                <w14:textFill>
                  <w14:solidFill>
                    <w14:schemeClr w14:val="tx1"/>
                  </w14:solidFill>
                </w14:textFill>
              </w:rPr>
              <w:t xml:space="preserve">16 </w:t>
            </w:r>
            <w:r>
              <w:rPr>
                <w:color w:val="000000" w:themeColor="text1"/>
                <w:sz w:val="18"/>
                <w:highlight w:val="none"/>
                <w14:textFill>
                  <w14:solidFill>
                    <w14:schemeClr w14:val="tx1"/>
                  </w14:solidFill>
                </w14:textFill>
              </w:rPr>
              <w:t>枚</w:t>
            </w:r>
          </w:p>
        </w:tc>
        <w:tc>
          <w:tcPr>
            <w:tcW w:w="849" w:type="dxa"/>
            <w:vAlign w:val="top"/>
          </w:tcPr>
          <w:p>
            <w:pPr>
              <w:pStyle w:val="24"/>
              <w:spacing w:before="132"/>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12" w:line="230" w:lineRule="atLeast"/>
              <w:ind w:left="108" w:right="511"/>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s7101A.323, s7101B.323</w:t>
            </w:r>
            <w:r>
              <w:rPr>
                <w:color w:val="000000" w:themeColor="text1"/>
                <w:sz w:val="18"/>
                <w:highlight w:val="none"/>
                <w14:textFill>
                  <w14:solidFill>
                    <w14:schemeClr w14:val="tx1"/>
                  </w14:solidFill>
                </w14:textFill>
              </w:rPr>
              <w:t xml:space="preserve">， </w:t>
            </w:r>
            <w:r>
              <w:rPr>
                <w:rFonts w:ascii="Times New Roman" w:eastAsia="Times New Roman"/>
                <w:color w:val="000000" w:themeColor="text1"/>
                <w:sz w:val="18"/>
                <w:highlight w:val="none"/>
                <w14:textFill>
                  <w14:solidFill>
                    <w14:schemeClr w14:val="tx1"/>
                  </w14:solidFill>
                </w14:textFill>
              </w:rPr>
              <w:t>s3200.320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3" w:type="dxa"/>
            <w:vAlign w:val="top"/>
          </w:tcPr>
          <w:p>
            <w:pPr>
              <w:pStyle w:val="24"/>
              <w:spacing w:before="13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上颌骨、下颌骨缺损，且牙齿脱落大于等于 </w:t>
            </w:r>
            <w:r>
              <w:rPr>
                <w:rFonts w:ascii="Times New Roman" w:eastAsia="Times New Roman"/>
                <w:color w:val="000000" w:themeColor="text1"/>
                <w:sz w:val="18"/>
                <w:highlight w:val="none"/>
                <w14:textFill>
                  <w14:solidFill>
                    <w14:schemeClr w14:val="tx1"/>
                  </w14:solidFill>
                </w14:textFill>
              </w:rPr>
              <w:t xml:space="preserve">12 </w:t>
            </w:r>
            <w:r>
              <w:rPr>
                <w:color w:val="000000" w:themeColor="text1"/>
                <w:sz w:val="18"/>
                <w:highlight w:val="none"/>
                <w14:textFill>
                  <w14:solidFill>
                    <w14:schemeClr w14:val="tx1"/>
                  </w14:solidFill>
                </w14:textFill>
              </w:rPr>
              <w:t>枚</w:t>
            </w:r>
          </w:p>
        </w:tc>
        <w:tc>
          <w:tcPr>
            <w:tcW w:w="849" w:type="dxa"/>
            <w:vAlign w:val="top"/>
          </w:tcPr>
          <w:p>
            <w:pPr>
              <w:pStyle w:val="24"/>
              <w:spacing w:before="131"/>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s7101A.223, s7101B.223,</w:t>
            </w:r>
          </w:p>
          <w:p>
            <w:pPr>
              <w:pStyle w:val="24"/>
              <w:spacing w:before="3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s3200.220Y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3"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上颌骨、下颌骨缺损，且牙齿脱落大于等于 </w:t>
            </w: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枚</w:t>
            </w:r>
          </w:p>
        </w:tc>
        <w:tc>
          <w:tcPr>
            <w:tcW w:w="849" w:type="dxa"/>
            <w:vAlign w:val="top"/>
          </w:tcPr>
          <w:p>
            <w:pPr>
              <w:pStyle w:val="24"/>
              <w:spacing w:before="132"/>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0" w:line="240" w:lineRule="exact"/>
              <w:ind w:left="108" w:right="646"/>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s7101A.223, s7101B.223, s3200.220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颅骨缺损大于等于 </w:t>
            </w:r>
            <w:r>
              <w:rPr>
                <w:rFonts w:ascii="Times New Roman" w:eastAsia="Times New Roman"/>
                <w:color w:val="000000" w:themeColor="text1"/>
                <w:sz w:val="18"/>
                <w:highlight w:val="none"/>
                <w14:textFill>
                  <w14:solidFill>
                    <w14:schemeClr w14:val="tx1"/>
                  </w14:solidFill>
                </w14:textFill>
              </w:rPr>
              <w:t>6cm</w:t>
            </w:r>
            <w:r>
              <w:rPr>
                <w:rFonts w:ascii="Times New Roman" w:eastAsia="Times New Roman"/>
                <w:color w:val="000000" w:themeColor="text1"/>
                <w:sz w:val="18"/>
                <w:highlight w:val="none"/>
                <w:vertAlign w:val="superscript"/>
                <w14:textFill>
                  <w14:solidFill>
                    <w14:schemeClr w14:val="tx1"/>
                  </w14:solidFill>
                </w14:textFill>
              </w:rPr>
              <w:t>2</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10</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s7100.228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063"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上颌骨、下颌骨缺损，且牙齿脱落大于等于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枚</w:t>
            </w:r>
          </w:p>
        </w:tc>
        <w:tc>
          <w:tcPr>
            <w:tcW w:w="849" w:type="dxa"/>
            <w:vAlign w:val="top"/>
          </w:tcPr>
          <w:p>
            <w:pPr>
              <w:pStyle w:val="24"/>
              <w:spacing w:before="132"/>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10</w:t>
            </w:r>
            <w:r>
              <w:rPr>
                <w:color w:val="000000" w:themeColor="text1"/>
                <w:sz w:val="18"/>
                <w:highlight w:val="none"/>
                <w14:textFill>
                  <w14:solidFill>
                    <w14:schemeClr w14:val="tx1"/>
                  </w14:solidFill>
                </w14:textFill>
              </w:rPr>
              <w:t>级</w:t>
            </w:r>
          </w:p>
        </w:tc>
        <w:tc>
          <w:tcPr>
            <w:tcW w:w="2660" w:type="dxa"/>
            <w:vAlign w:val="top"/>
          </w:tcPr>
          <w:p>
            <w:pPr>
              <w:pStyle w:val="24"/>
              <w:spacing w:before="12" w:line="230" w:lineRule="atLeast"/>
              <w:ind w:left="108" w:right="466"/>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s7101A.123</w:t>
            </w:r>
            <w:r>
              <w:rPr>
                <w:color w:val="000000" w:themeColor="text1"/>
                <w:sz w:val="18"/>
                <w:highlight w:val="none"/>
                <w14:textFill>
                  <w14:solidFill>
                    <w14:schemeClr w14:val="tx1"/>
                  </w14:solidFill>
                </w14:textFill>
              </w:rPr>
              <w:t xml:space="preserve">， </w:t>
            </w:r>
            <w:r>
              <w:rPr>
                <w:rFonts w:ascii="Times New Roman" w:eastAsia="Times New Roman"/>
                <w:color w:val="000000" w:themeColor="text1"/>
                <w:sz w:val="18"/>
                <w:highlight w:val="none"/>
                <w14:textFill>
                  <w14:solidFill>
                    <w14:schemeClr w14:val="tx1"/>
                  </w14:solidFill>
                </w14:textFill>
              </w:rPr>
              <w:t>s7101B.123, s3200.120</w:t>
            </w:r>
          </w:p>
        </w:tc>
      </w:tr>
    </w:tbl>
    <w:p>
      <w:pPr>
        <w:pStyle w:val="20"/>
        <w:numPr>
          <w:ilvl w:val="2"/>
          <w:numId w:val="14"/>
        </w:numPr>
        <w:tabs>
          <w:tab w:val="left" w:pos="1128"/>
        </w:tabs>
        <w:autoSpaceDE w:val="0"/>
        <w:autoSpaceDN w:val="0"/>
        <w:spacing w:before="179" w:after="0"/>
        <w:ind w:left="1127" w:hanging="631"/>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头颈部关节功能障碍</w:t>
      </w:r>
    </w:p>
    <w:p>
      <w:pPr>
        <w:pStyle w:val="8"/>
        <w:spacing w:before="6"/>
        <w:rPr>
          <w:rFonts w:ascii="黑体"/>
          <w:color w:val="000000" w:themeColor="text1"/>
          <w:sz w:val="15"/>
          <w:highlight w:val="none"/>
          <w14:textFill>
            <w14:solidFill>
              <w14:schemeClr w14:val="tx1"/>
            </w14:solidFill>
          </w14:textFill>
        </w:rPr>
      </w:pPr>
    </w:p>
    <w:p>
      <w:pPr>
        <w:pStyle w:val="8"/>
        <w:spacing w:after="21"/>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表26</w:t>
      </w: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3"/>
        <w:gridCol w:w="84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ind w:left="2651" w:right="264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9" w:right="93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单侧颞下颌关节强直，张口困难Ⅲ度</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s7103A.881/2;b710.3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063" w:type="dxa"/>
            <w:tcBorders>
              <w:bottom w:val="single" w:color="000000" w:sz="6" w:space="0"/>
            </w:tcBorders>
            <w:vAlign w:val="top"/>
          </w:tcPr>
          <w:p>
            <w:pPr>
              <w:pStyle w:val="24"/>
              <w:spacing w:line="205"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双侧颞下颌关节强直，张口困难Ⅲ度</w:t>
            </w:r>
          </w:p>
        </w:tc>
        <w:tc>
          <w:tcPr>
            <w:tcW w:w="849" w:type="dxa"/>
            <w:tcBorders>
              <w:bottom w:val="single" w:color="000000" w:sz="6" w:space="0"/>
            </w:tcBorders>
            <w:vAlign w:val="top"/>
          </w:tcPr>
          <w:p>
            <w:pPr>
              <w:pStyle w:val="24"/>
              <w:spacing w:line="205"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tcBorders>
              <w:bottom w:val="single" w:color="000000" w:sz="6" w:space="0"/>
            </w:tcBorders>
            <w:vAlign w:val="top"/>
          </w:tcPr>
          <w:p>
            <w:pPr>
              <w:pStyle w:val="24"/>
              <w:spacing w:before="23" w:line="194"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s7103A.883;b710.3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063" w:type="dxa"/>
            <w:tcBorders>
              <w:top w:val="single" w:color="000000" w:sz="6" w:space="0"/>
            </w:tcBorders>
            <w:vAlign w:val="top"/>
          </w:tcPr>
          <w:p>
            <w:pPr>
              <w:pStyle w:val="24"/>
              <w:spacing w:before="9"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双侧颞下颌关节强直，张口困难Ⅱ度</w:t>
            </w:r>
          </w:p>
        </w:tc>
        <w:tc>
          <w:tcPr>
            <w:tcW w:w="849" w:type="dxa"/>
            <w:tcBorders>
              <w:top w:val="single" w:color="000000" w:sz="6" w:space="0"/>
            </w:tcBorders>
            <w:vAlign w:val="top"/>
          </w:tcPr>
          <w:p>
            <w:pPr>
              <w:pStyle w:val="24"/>
              <w:spacing w:before="9"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tcBorders>
              <w:top w:val="single" w:color="000000" w:sz="6" w:space="0"/>
            </w:tcBorders>
            <w:vAlign w:val="top"/>
          </w:tcPr>
          <w:p>
            <w:pPr>
              <w:pStyle w:val="24"/>
              <w:spacing w:before="21"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s7103A.883;b710.2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3" w:type="dxa"/>
            <w:vAlign w:val="top"/>
          </w:tcPr>
          <w:p>
            <w:pPr>
              <w:pStyle w:val="24"/>
              <w:spacing w:line="210"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单侧颞下颌关节强直，张口困难 </w:t>
            </w:r>
            <w:r>
              <w:rPr>
                <w:rFonts w:ascii="Times New Roman" w:eastAsia="Times New Roman"/>
                <w:color w:val="000000" w:themeColor="text1"/>
                <w:sz w:val="18"/>
                <w:highlight w:val="none"/>
                <w14:textFill>
                  <w14:solidFill>
                    <w14:schemeClr w14:val="tx1"/>
                  </w14:solidFill>
                </w14:textFill>
              </w:rPr>
              <w:t xml:space="preserve">I </w:t>
            </w:r>
            <w:r>
              <w:rPr>
                <w:color w:val="000000" w:themeColor="text1"/>
                <w:sz w:val="18"/>
                <w:highlight w:val="none"/>
                <w14:textFill>
                  <w14:solidFill>
                    <w14:schemeClr w14:val="tx1"/>
                  </w14:solidFill>
                </w14:textFill>
              </w:rPr>
              <w:t>度</w:t>
            </w:r>
          </w:p>
        </w:tc>
        <w:tc>
          <w:tcPr>
            <w:tcW w:w="849" w:type="dxa"/>
            <w:vAlign w:val="top"/>
          </w:tcPr>
          <w:p>
            <w:pPr>
              <w:pStyle w:val="24"/>
              <w:spacing w:line="210"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10</w:t>
            </w:r>
            <w:r>
              <w:rPr>
                <w:color w:val="000000" w:themeColor="text1"/>
                <w:sz w:val="18"/>
                <w:highlight w:val="none"/>
                <w14:textFill>
                  <w14:solidFill>
                    <w14:schemeClr w14:val="tx1"/>
                  </w14:solidFill>
                </w14:textFill>
              </w:rPr>
              <w:t>级</w:t>
            </w:r>
          </w:p>
        </w:tc>
        <w:tc>
          <w:tcPr>
            <w:tcW w:w="2660" w:type="dxa"/>
            <w:vAlign w:val="top"/>
          </w:tcPr>
          <w:p>
            <w:pPr>
              <w:pStyle w:val="24"/>
              <w:spacing w:before="23" w:line="198"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s7103A.881/2;b710.1</w:t>
            </w:r>
          </w:p>
        </w:tc>
      </w:tr>
    </w:tbl>
    <w:p>
      <w:pPr>
        <w:spacing w:before="38" w:line="324" w:lineRule="auto"/>
        <w:ind w:left="496" w:right="46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表注：张口困难判定及测量方法是以患者自身的食指、中指、无名指并列垂直置入上、下中切牙切缘间测量。正常张口度指张口时上述三指可垂直置入上、下切牙切缘间（</w:t>
      </w:r>
      <w:r>
        <w:rPr>
          <w:color w:val="000000" w:themeColor="text1"/>
          <w:spacing w:val="-11"/>
          <w:sz w:val="18"/>
          <w:highlight w:val="none"/>
          <w14:textFill>
            <w14:solidFill>
              <w14:schemeClr w14:val="tx1"/>
            </w14:solidFill>
          </w14:textFill>
        </w:rPr>
        <w:t xml:space="preserve">相当于 </w:t>
      </w:r>
      <w:r>
        <w:rPr>
          <w:rFonts w:eastAsia="Times New Roman"/>
          <w:color w:val="000000" w:themeColor="text1"/>
          <w:sz w:val="18"/>
          <w:highlight w:val="none"/>
          <w14:textFill>
            <w14:solidFill>
              <w14:schemeClr w14:val="tx1"/>
            </w14:solidFill>
          </w14:textFill>
        </w:rPr>
        <w:t xml:space="preserve">4.5cm </w:t>
      </w:r>
      <w:r>
        <w:rPr>
          <w:color w:val="000000" w:themeColor="text1"/>
          <w:sz w:val="18"/>
          <w:highlight w:val="none"/>
          <w14:textFill>
            <w14:solidFill>
              <w14:schemeClr w14:val="tx1"/>
            </w14:solidFill>
          </w14:textFill>
        </w:rPr>
        <w:t>左右）；</w:t>
      </w:r>
      <w:r>
        <w:rPr>
          <w:color w:val="000000" w:themeColor="text1"/>
          <w:spacing w:val="-9"/>
          <w:sz w:val="18"/>
          <w:highlight w:val="none"/>
          <w14:textFill>
            <w14:solidFill>
              <w14:schemeClr w14:val="tx1"/>
            </w14:solidFill>
          </w14:textFill>
        </w:rPr>
        <w:t xml:space="preserve">张口困难 </w:t>
      </w:r>
      <w:r>
        <w:rPr>
          <w:rFonts w:eastAsia="Times New Roman"/>
          <w:color w:val="000000" w:themeColor="text1"/>
          <w:sz w:val="18"/>
          <w:highlight w:val="none"/>
          <w14:textFill>
            <w14:solidFill>
              <w14:schemeClr w14:val="tx1"/>
            </w14:solidFill>
          </w14:textFill>
        </w:rPr>
        <w:t xml:space="preserve">I </w:t>
      </w:r>
      <w:r>
        <w:rPr>
          <w:color w:val="000000" w:themeColor="text1"/>
          <w:spacing w:val="-2"/>
          <w:sz w:val="18"/>
          <w:highlight w:val="none"/>
          <w14:textFill>
            <w14:solidFill>
              <w14:schemeClr w14:val="tx1"/>
            </w14:solidFill>
          </w14:textFill>
        </w:rPr>
        <w:t>度指大张口时，只能垂直置入</w:t>
      </w:r>
      <w:r>
        <w:rPr>
          <w:color w:val="000000" w:themeColor="text1"/>
          <w:sz w:val="18"/>
          <w:highlight w:val="none"/>
          <w14:textFill>
            <w14:solidFill>
              <w14:schemeClr w14:val="tx1"/>
            </w14:solidFill>
          </w14:textFill>
        </w:rPr>
        <w:t>食指和中指（</w:t>
      </w:r>
      <w:r>
        <w:rPr>
          <w:color w:val="000000" w:themeColor="text1"/>
          <w:spacing w:val="-12"/>
          <w:sz w:val="18"/>
          <w:highlight w:val="none"/>
          <w14:textFill>
            <w14:solidFill>
              <w14:schemeClr w14:val="tx1"/>
            </w14:solidFill>
          </w14:textFill>
        </w:rPr>
        <w:t xml:space="preserve">相当于 </w:t>
      </w:r>
      <w:r>
        <w:rPr>
          <w:rFonts w:eastAsia="Times New Roman"/>
          <w:color w:val="000000" w:themeColor="text1"/>
          <w:sz w:val="18"/>
          <w:highlight w:val="none"/>
          <w14:textFill>
            <w14:solidFill>
              <w14:schemeClr w14:val="tx1"/>
            </w14:solidFill>
          </w14:textFill>
        </w:rPr>
        <w:t xml:space="preserve">3cm </w:t>
      </w:r>
      <w:r>
        <w:rPr>
          <w:color w:val="000000" w:themeColor="text1"/>
          <w:sz w:val="18"/>
          <w:highlight w:val="none"/>
          <w14:textFill>
            <w14:solidFill>
              <w14:schemeClr w14:val="tx1"/>
            </w14:solidFill>
          </w14:textFill>
        </w:rPr>
        <w:t>左右）；</w:t>
      </w:r>
      <w:r>
        <w:rPr>
          <w:color w:val="000000" w:themeColor="text1"/>
          <w:spacing w:val="-9"/>
          <w:sz w:val="18"/>
          <w:highlight w:val="none"/>
          <w14:textFill>
            <w14:solidFill>
              <w14:schemeClr w14:val="tx1"/>
            </w14:solidFill>
          </w14:textFill>
        </w:rPr>
        <w:t xml:space="preserve">张口困难 </w:t>
      </w:r>
      <w:r>
        <w:rPr>
          <w:rFonts w:eastAsia="Times New Roman"/>
          <w:color w:val="000000" w:themeColor="text1"/>
          <w:sz w:val="18"/>
          <w:highlight w:val="none"/>
          <w14:textFill>
            <w14:solidFill>
              <w14:schemeClr w14:val="tx1"/>
            </w14:solidFill>
          </w14:textFill>
        </w:rPr>
        <w:t xml:space="preserve">II </w:t>
      </w:r>
      <w:r>
        <w:rPr>
          <w:color w:val="000000" w:themeColor="text1"/>
          <w:sz w:val="18"/>
          <w:highlight w:val="none"/>
          <w14:textFill>
            <w14:solidFill>
              <w14:schemeClr w14:val="tx1"/>
            </w14:solidFill>
          </w14:textFill>
        </w:rPr>
        <w:t>度指大张口时，只能垂直置入食指（</w:t>
      </w:r>
      <w:r>
        <w:rPr>
          <w:color w:val="000000" w:themeColor="text1"/>
          <w:spacing w:val="-11"/>
          <w:sz w:val="18"/>
          <w:highlight w:val="none"/>
          <w14:textFill>
            <w14:solidFill>
              <w14:schemeClr w14:val="tx1"/>
            </w14:solidFill>
          </w14:textFill>
        </w:rPr>
        <w:t xml:space="preserve">相当于 </w:t>
      </w:r>
      <w:r>
        <w:rPr>
          <w:rFonts w:eastAsia="Times New Roman"/>
          <w:color w:val="000000" w:themeColor="text1"/>
          <w:sz w:val="18"/>
          <w:highlight w:val="none"/>
          <w14:textFill>
            <w14:solidFill>
              <w14:schemeClr w14:val="tx1"/>
            </w14:solidFill>
          </w14:textFill>
        </w:rPr>
        <w:t xml:space="preserve">1.7cm </w:t>
      </w:r>
      <w:r>
        <w:rPr>
          <w:color w:val="000000" w:themeColor="text1"/>
          <w:sz w:val="18"/>
          <w:highlight w:val="none"/>
          <w14:textFill>
            <w14:solidFill>
              <w14:schemeClr w14:val="tx1"/>
            </w14:solidFill>
          </w14:textFill>
        </w:rPr>
        <w:t>左右）；</w:t>
      </w:r>
      <w:r>
        <w:rPr>
          <w:color w:val="000000" w:themeColor="text1"/>
          <w:spacing w:val="-9"/>
          <w:sz w:val="18"/>
          <w:highlight w:val="none"/>
          <w14:textFill>
            <w14:solidFill>
              <w14:schemeClr w14:val="tx1"/>
            </w14:solidFill>
          </w14:textFill>
        </w:rPr>
        <w:t xml:space="preserve">张口困难 </w:t>
      </w:r>
      <w:r>
        <w:rPr>
          <w:rFonts w:eastAsia="Times New Roman"/>
          <w:color w:val="000000" w:themeColor="text1"/>
          <w:sz w:val="18"/>
          <w:highlight w:val="none"/>
          <w14:textFill>
            <w14:solidFill>
              <w14:schemeClr w14:val="tx1"/>
            </w14:solidFill>
          </w14:textFill>
        </w:rPr>
        <w:t xml:space="preserve">III </w:t>
      </w:r>
      <w:r>
        <w:rPr>
          <w:color w:val="000000" w:themeColor="text1"/>
          <w:sz w:val="18"/>
          <w:highlight w:val="none"/>
          <w14:textFill>
            <w14:solidFill>
              <w14:schemeClr w14:val="tx1"/>
            </w14:solidFill>
          </w14:textFill>
        </w:rPr>
        <w:t>度指大张口时，上、下切牙间距小于食指之横径。</w:t>
      </w:r>
    </w:p>
    <w:p>
      <w:pPr>
        <w:pStyle w:val="20"/>
        <w:numPr>
          <w:ilvl w:val="2"/>
          <w:numId w:val="14"/>
        </w:numPr>
        <w:tabs>
          <w:tab w:val="left" w:pos="1128"/>
        </w:tabs>
        <w:autoSpaceDE w:val="0"/>
        <w:autoSpaceDN w:val="0"/>
        <w:spacing w:before="143" w:after="0"/>
        <w:ind w:left="1127" w:hanging="631"/>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上肢的结构损伤，手功能或关节功能障碍</w:t>
      </w:r>
    </w:p>
    <w:p>
      <w:pPr>
        <w:pStyle w:val="8"/>
        <w:spacing w:before="7"/>
        <w:rPr>
          <w:rFonts w:ascii="黑体"/>
          <w:color w:val="000000" w:themeColor="text1"/>
          <w:sz w:val="15"/>
          <w:highlight w:val="none"/>
          <w14:textFill>
            <w14:solidFill>
              <w14:schemeClr w14:val="tx1"/>
            </w14:solidFill>
          </w14:textFill>
        </w:rPr>
      </w:pPr>
    </w:p>
    <w:p>
      <w:pPr>
        <w:pStyle w:val="8"/>
        <w:spacing w:after="20"/>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表27</w:t>
      </w:r>
    </w:p>
    <w:tbl>
      <w:tblPr>
        <w:tblStyle w:val="14"/>
        <w:tblW w:w="9424" w:type="dxa"/>
        <w:tblInd w:w="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0"/>
        <w:gridCol w:w="835"/>
        <w:gridCol w:w="2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970" w:type="dxa"/>
            <w:vAlign w:val="top"/>
          </w:tcPr>
          <w:p>
            <w:pPr>
              <w:pStyle w:val="24"/>
              <w:spacing w:before="12" w:line="208" w:lineRule="exact"/>
              <w:ind w:left="2603" w:right="259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35" w:type="dxa"/>
            <w:vAlign w:val="top"/>
          </w:tcPr>
          <w:p>
            <w:pPr>
              <w:pStyle w:val="24"/>
              <w:spacing w:before="12" w:line="208" w:lineRule="exact"/>
              <w:ind w:left="191" w:right="18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19" w:type="dxa"/>
            <w:vAlign w:val="top"/>
          </w:tcPr>
          <w:p>
            <w:pPr>
              <w:pStyle w:val="24"/>
              <w:spacing w:before="12" w:line="208" w:lineRule="exact"/>
              <w:ind w:left="928" w:right="91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970"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双手完全缺失</w:t>
            </w:r>
          </w:p>
        </w:tc>
        <w:tc>
          <w:tcPr>
            <w:tcW w:w="835" w:type="dxa"/>
            <w:vAlign w:val="top"/>
          </w:tcPr>
          <w:p>
            <w:pPr>
              <w:pStyle w:val="24"/>
              <w:spacing w:before="12" w:line="208" w:lineRule="exact"/>
              <w:ind w:left="196"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19"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s7302.413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970"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双手完全丧失功能</w:t>
            </w:r>
          </w:p>
        </w:tc>
        <w:tc>
          <w:tcPr>
            <w:tcW w:w="835" w:type="dxa"/>
            <w:vAlign w:val="top"/>
          </w:tcPr>
          <w:p>
            <w:pPr>
              <w:pStyle w:val="24"/>
              <w:spacing w:line="208" w:lineRule="exact"/>
              <w:ind w:left="196"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19"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s7302.883;b710.4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970"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一手完全缺失，另一手完全丧失功能</w:t>
            </w:r>
          </w:p>
        </w:tc>
        <w:tc>
          <w:tcPr>
            <w:tcW w:w="835" w:type="dxa"/>
            <w:vAlign w:val="top"/>
          </w:tcPr>
          <w:p>
            <w:pPr>
              <w:pStyle w:val="24"/>
              <w:spacing w:before="132"/>
              <w:ind w:left="196"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19" w:type="dxa"/>
            <w:vAlign w:val="top"/>
          </w:tcPr>
          <w:p>
            <w:pPr>
              <w:pStyle w:val="24"/>
              <w:spacing w:before="12" w:line="230" w:lineRule="atLeast"/>
              <w:ind w:left="110" w:right="1048"/>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s7302.411/2</w:t>
            </w:r>
            <w:r>
              <w:rPr>
                <w:color w:val="000000" w:themeColor="text1"/>
                <w:sz w:val="18"/>
                <w:highlight w:val="none"/>
                <w14:textFill>
                  <w14:solidFill>
                    <w14:schemeClr w14:val="tx1"/>
                  </w14:solidFill>
                </w14:textFill>
              </w:rPr>
              <w:t xml:space="preserve">， </w:t>
            </w:r>
            <w:r>
              <w:rPr>
                <w:rFonts w:ascii="Times New Roman" w:eastAsia="Times New Roman"/>
                <w:color w:val="000000" w:themeColor="text1"/>
                <w:sz w:val="18"/>
                <w:highlight w:val="none"/>
                <w14:textFill>
                  <w14:solidFill>
                    <w14:schemeClr w14:val="tx1"/>
                  </w14:solidFill>
                </w14:textFill>
              </w:rPr>
              <w:t>s7302.882/1;b710.4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970"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双手缺失（或丧失功能）大于等于 </w:t>
            </w:r>
            <w:r>
              <w:rPr>
                <w:rFonts w:ascii="Times New Roman" w:eastAsia="Times New Roman"/>
                <w:color w:val="000000" w:themeColor="text1"/>
                <w:sz w:val="18"/>
                <w:highlight w:val="none"/>
                <w14:textFill>
                  <w14:solidFill>
                    <w14:schemeClr w14:val="tx1"/>
                  </w14:solidFill>
                </w14:textFill>
              </w:rPr>
              <w:t>90%</w:t>
            </w:r>
          </w:p>
        </w:tc>
        <w:tc>
          <w:tcPr>
            <w:tcW w:w="835" w:type="dxa"/>
            <w:vAlign w:val="top"/>
          </w:tcPr>
          <w:p>
            <w:pPr>
              <w:pStyle w:val="24"/>
              <w:spacing w:line="208" w:lineRule="exact"/>
              <w:ind w:left="196"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19"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s7302.323Y/ s7302.883;b710.3Y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970" w:type="dxa"/>
            <w:vAlign w:val="top"/>
          </w:tcPr>
          <w:p>
            <w:pPr>
              <w:pStyle w:val="24"/>
              <w:spacing w:before="14"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双手缺失（或丧失功能）大于等于 </w:t>
            </w:r>
            <w:r>
              <w:rPr>
                <w:rFonts w:ascii="Times New Roman" w:eastAsia="Times New Roman"/>
                <w:color w:val="000000" w:themeColor="text1"/>
                <w:sz w:val="18"/>
                <w:highlight w:val="none"/>
                <w14:textFill>
                  <w14:solidFill>
                    <w14:schemeClr w14:val="tx1"/>
                  </w14:solidFill>
                </w14:textFill>
              </w:rPr>
              <w:t>70%</w:t>
            </w:r>
          </w:p>
        </w:tc>
        <w:tc>
          <w:tcPr>
            <w:tcW w:w="835" w:type="dxa"/>
            <w:vAlign w:val="top"/>
          </w:tcPr>
          <w:p>
            <w:pPr>
              <w:pStyle w:val="24"/>
              <w:spacing w:before="14" w:line="208" w:lineRule="exact"/>
              <w:ind w:left="196"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19" w:type="dxa"/>
            <w:vAlign w:val="top"/>
          </w:tcPr>
          <w:p>
            <w:pPr>
              <w:pStyle w:val="24"/>
              <w:spacing w:before="26"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s7302.323Z/ s7302.883;b710.3Z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970"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双手缺失（或丧失功能）大于等于 </w:t>
            </w:r>
            <w:r>
              <w:rPr>
                <w:rFonts w:ascii="Times New Roman" w:eastAsia="Times New Roman"/>
                <w:color w:val="000000" w:themeColor="text1"/>
                <w:sz w:val="18"/>
                <w:highlight w:val="none"/>
                <w14:textFill>
                  <w14:solidFill>
                    <w14:schemeClr w14:val="tx1"/>
                  </w14:solidFill>
                </w14:textFill>
              </w:rPr>
              <w:t>50%</w:t>
            </w:r>
          </w:p>
        </w:tc>
        <w:tc>
          <w:tcPr>
            <w:tcW w:w="835" w:type="dxa"/>
            <w:vAlign w:val="top"/>
          </w:tcPr>
          <w:p>
            <w:pPr>
              <w:pStyle w:val="24"/>
              <w:spacing w:before="12" w:line="208" w:lineRule="exact"/>
              <w:ind w:left="196"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19"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s7302.323/ s7302.883;b710.3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70" w:type="dxa"/>
            <w:vAlign w:val="top"/>
          </w:tcPr>
          <w:p>
            <w:pPr>
              <w:pStyle w:val="24"/>
              <w:spacing w:before="13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一上肢三大关节中，有两个关节完全丧失功能</w:t>
            </w:r>
          </w:p>
        </w:tc>
        <w:tc>
          <w:tcPr>
            <w:tcW w:w="835" w:type="dxa"/>
            <w:vAlign w:val="top"/>
          </w:tcPr>
          <w:p>
            <w:pPr>
              <w:pStyle w:val="24"/>
              <w:spacing w:before="131"/>
              <w:ind w:left="196"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19" w:type="dxa"/>
            <w:vAlign w:val="top"/>
          </w:tcPr>
          <w:p>
            <w:pPr>
              <w:pStyle w:val="24"/>
              <w:spacing w:before="23"/>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s7201.881/2, s73001.881/2,</w:t>
            </w:r>
          </w:p>
          <w:p>
            <w:pPr>
              <w:pStyle w:val="24"/>
              <w:spacing w:before="3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s73011.881/2;b7100.4, b7101.3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970"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双手缺失（或丧失功能）大于等于 </w:t>
            </w:r>
            <w:r>
              <w:rPr>
                <w:rFonts w:ascii="Times New Roman" w:eastAsia="Times New Roman"/>
                <w:color w:val="000000" w:themeColor="text1"/>
                <w:sz w:val="18"/>
                <w:highlight w:val="none"/>
                <w14:textFill>
                  <w14:solidFill>
                    <w14:schemeClr w14:val="tx1"/>
                  </w14:solidFill>
                </w14:textFill>
              </w:rPr>
              <w:t>30%</w:t>
            </w:r>
          </w:p>
        </w:tc>
        <w:tc>
          <w:tcPr>
            <w:tcW w:w="835" w:type="dxa"/>
            <w:vAlign w:val="top"/>
          </w:tcPr>
          <w:p>
            <w:pPr>
              <w:pStyle w:val="24"/>
              <w:spacing w:line="208" w:lineRule="exact"/>
              <w:ind w:left="196"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19"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s7302.223/ s7302.883;b710.2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70"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一上肢三大关节中，有一个关节完全丧失功能</w:t>
            </w:r>
          </w:p>
        </w:tc>
        <w:tc>
          <w:tcPr>
            <w:tcW w:w="835" w:type="dxa"/>
            <w:vAlign w:val="top"/>
          </w:tcPr>
          <w:p>
            <w:pPr>
              <w:pStyle w:val="24"/>
              <w:spacing w:before="132"/>
              <w:ind w:left="196"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19" w:type="dxa"/>
            <w:vAlign w:val="top"/>
          </w:tcPr>
          <w:p>
            <w:pPr>
              <w:pStyle w:val="24"/>
              <w:spacing w:before="0" w:line="240" w:lineRule="exact"/>
              <w:ind w:left="110" w:right="483"/>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s7201.881/2, s73001.881/2, s73011.881/2;b7100.4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970"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双上肢长度相差大于等于 </w:t>
            </w:r>
            <w:r>
              <w:rPr>
                <w:rFonts w:ascii="Times New Roman" w:eastAsia="Times New Roman"/>
                <w:color w:val="000000" w:themeColor="text1"/>
                <w:sz w:val="18"/>
                <w:highlight w:val="none"/>
                <w14:textFill>
                  <w14:solidFill>
                    <w14:schemeClr w14:val="tx1"/>
                  </w14:solidFill>
                </w14:textFill>
              </w:rPr>
              <w:t>10cm</w:t>
            </w:r>
          </w:p>
        </w:tc>
        <w:tc>
          <w:tcPr>
            <w:tcW w:w="835" w:type="dxa"/>
            <w:vAlign w:val="top"/>
          </w:tcPr>
          <w:p>
            <w:pPr>
              <w:pStyle w:val="24"/>
              <w:spacing w:line="208" w:lineRule="exact"/>
              <w:ind w:left="196"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19"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970" w:type="dxa"/>
            <w:vAlign w:val="top"/>
          </w:tcPr>
          <w:p>
            <w:pPr>
              <w:pStyle w:val="24"/>
              <w:spacing w:before="14"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双手缺失（或丧失功能）大于等于 </w:t>
            </w:r>
            <w:r>
              <w:rPr>
                <w:rFonts w:ascii="Times New Roman" w:eastAsia="Times New Roman"/>
                <w:color w:val="000000" w:themeColor="text1"/>
                <w:sz w:val="18"/>
                <w:highlight w:val="none"/>
                <w14:textFill>
                  <w14:solidFill>
                    <w14:schemeClr w14:val="tx1"/>
                  </w14:solidFill>
                </w14:textFill>
              </w:rPr>
              <w:t>10%</w:t>
            </w:r>
          </w:p>
        </w:tc>
        <w:tc>
          <w:tcPr>
            <w:tcW w:w="835" w:type="dxa"/>
            <w:vAlign w:val="top"/>
          </w:tcPr>
          <w:p>
            <w:pPr>
              <w:pStyle w:val="24"/>
              <w:spacing w:before="14" w:line="208" w:lineRule="exact"/>
              <w:ind w:left="196"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19" w:type="dxa"/>
            <w:vAlign w:val="top"/>
          </w:tcPr>
          <w:p>
            <w:pPr>
              <w:pStyle w:val="24"/>
              <w:spacing w:before="26"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s7302.123Z/ s7302.883;b710.1Z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970"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双上肢长度相差大于等于 </w:t>
            </w:r>
            <w:r>
              <w:rPr>
                <w:rFonts w:ascii="Times New Roman" w:eastAsia="Times New Roman"/>
                <w:color w:val="000000" w:themeColor="text1"/>
                <w:sz w:val="18"/>
                <w:highlight w:val="none"/>
                <w14:textFill>
                  <w14:solidFill>
                    <w14:schemeClr w14:val="tx1"/>
                  </w14:solidFill>
                </w14:textFill>
              </w:rPr>
              <w:t>4cm</w:t>
            </w:r>
          </w:p>
        </w:tc>
        <w:tc>
          <w:tcPr>
            <w:tcW w:w="835" w:type="dxa"/>
            <w:vAlign w:val="top"/>
          </w:tcPr>
          <w:p>
            <w:pPr>
              <w:pStyle w:val="24"/>
              <w:spacing w:before="12" w:line="208" w:lineRule="exact"/>
              <w:ind w:left="0" w:right="182" w:firstLine="0" w:firstLineChars="0"/>
              <w:jc w:val="center"/>
              <w:rPr>
                <w:color w:val="000000" w:themeColor="text1"/>
                <w:sz w:val="18"/>
                <w:highlight w:val="none"/>
                <w14:textFill>
                  <w14:solidFill>
                    <w14:schemeClr w14:val="tx1"/>
                  </w14:solidFill>
                </w14:textFill>
              </w:rPr>
            </w:pPr>
            <w:r>
              <w:rPr>
                <w:rFonts w:hint="eastAsia" w:ascii="Times New Roman"/>
                <w:color w:val="000000" w:themeColor="text1"/>
                <w:sz w:val="18"/>
                <w:highlight w:val="none"/>
                <w:lang w:val="en-US" w:eastAsia="zh-CN"/>
                <w14:textFill>
                  <w14:solidFill>
                    <w14:schemeClr w14:val="tx1"/>
                  </w14:solidFill>
                </w14:textFill>
              </w:rPr>
              <w:t xml:space="preserve">  </w:t>
            </w:r>
            <w:r>
              <w:rPr>
                <w:rFonts w:ascii="Times New Roman" w:eastAsia="Times New Roman"/>
                <w:color w:val="000000" w:themeColor="text1"/>
                <w:sz w:val="18"/>
                <w:highlight w:val="none"/>
                <w14:textFill>
                  <w14:solidFill>
                    <w14:schemeClr w14:val="tx1"/>
                  </w14:solidFill>
                </w14:textFill>
              </w:rPr>
              <w:t>10</w:t>
            </w:r>
            <w:r>
              <w:rPr>
                <w:rFonts w:hint="default" w:ascii="Times New Roman" w:eastAsia="Times New Roman"/>
                <w:color w:val="000000" w:themeColor="text1"/>
                <w:sz w:val="18"/>
                <w:highlight w:val="none"/>
                <w:lang w:val="en-US" w:eastAsia="zh-CN"/>
                <w14:textFill>
                  <w14:solidFill>
                    <w14:schemeClr w14:val="tx1"/>
                  </w14:solidFill>
                </w14:textFill>
              </w:rPr>
              <w:t xml:space="preserve"> </w:t>
            </w:r>
            <w:r>
              <w:rPr>
                <w:color w:val="000000" w:themeColor="text1"/>
                <w:sz w:val="18"/>
                <w:highlight w:val="none"/>
                <w14:textFill>
                  <w14:solidFill>
                    <w14:schemeClr w14:val="tx1"/>
                  </w14:solidFill>
                </w14:textFill>
              </w:rPr>
              <w:t>级</w:t>
            </w:r>
          </w:p>
        </w:tc>
        <w:tc>
          <w:tcPr>
            <w:tcW w:w="2619"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s730.263</w:t>
            </w:r>
          </w:p>
        </w:tc>
      </w:tr>
    </w:tbl>
    <w:p>
      <w:pPr>
        <w:spacing w:line="196" w:lineRule="exact"/>
        <w:rPr>
          <w:color w:val="000000" w:themeColor="text1"/>
          <w:sz w:val="18"/>
          <w:highlight w:val="none"/>
          <w14:textFill>
            <w14:solidFill>
              <w14:schemeClr w14:val="tx1"/>
            </w14:solidFill>
          </w14:textFill>
        </w:rPr>
        <w:sectPr>
          <w:headerReference r:id="rId14" w:type="default"/>
          <w:headerReference r:id="rId15" w:type="even"/>
          <w:pgSz w:w="11910" w:h="16840"/>
          <w:pgMar w:top="1660" w:right="700" w:bottom="1340" w:left="920" w:header="1441" w:footer="1140" w:gutter="0"/>
          <w:cols w:space="720" w:num="1"/>
        </w:sectPr>
      </w:pPr>
    </w:p>
    <w:p>
      <w:pPr>
        <w:pStyle w:val="8"/>
        <w:spacing w:before="12" w:after="21"/>
        <w:ind w:firstLine="4620" w:firstLineChars="2200"/>
        <w:jc w:val="both"/>
        <w:rPr>
          <w:rFonts w:hint="default" w:ascii="黑体" w:eastAsia="黑体"/>
          <w:color w:val="000000" w:themeColor="text1"/>
          <w:highlight w:val="none"/>
          <w:lang w:val="en-US" w:eastAsia="zh-CN"/>
          <w14:textFill>
            <w14:solidFill>
              <w14:schemeClr w14:val="tx1"/>
            </w14:solidFill>
          </w14:textFill>
        </w:rPr>
      </w:pPr>
      <w:r>
        <w:rPr>
          <w:rFonts w:hint="eastAsia" w:ascii="黑体" w:eastAsia="黑体"/>
          <w:color w:val="000000" w:themeColor="text1"/>
          <w:highlight w:val="none"/>
          <w14:textFill>
            <w14:solidFill>
              <w14:schemeClr w14:val="tx1"/>
            </w14:solidFill>
          </w14:textFill>
        </w:rPr>
        <w:t>续表</w:t>
      </w:r>
      <w:r>
        <w:rPr>
          <w:rFonts w:hint="eastAsia" w:ascii="黑体" w:eastAsia="黑体"/>
          <w:color w:val="000000" w:themeColor="text1"/>
          <w:highlight w:val="none"/>
          <w:lang w:val="en-US" w:eastAsia="zh-CN"/>
          <w14:textFill>
            <w14:solidFill>
              <w14:schemeClr w14:val="tx1"/>
            </w14:solidFill>
          </w14:textFill>
        </w:rPr>
        <w:t>27</w:t>
      </w:r>
    </w:p>
    <w:p>
      <w:pPr>
        <w:pStyle w:val="8"/>
        <w:spacing w:before="11"/>
        <w:jc w:val="center"/>
        <w:rPr>
          <w:rFonts w:ascii="黑体"/>
          <w:color w:val="000000" w:themeColor="text1"/>
          <w:sz w:val="3"/>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page">
                  <wp:posOffset>697865</wp:posOffset>
                </wp:positionH>
                <wp:positionV relativeFrom="page">
                  <wp:posOffset>1216025</wp:posOffset>
                </wp:positionV>
                <wp:extent cx="5984240" cy="635"/>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5984240" cy="6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5pt;margin-top:95.75pt;height:0.05pt;width:471.2pt;mso-position-horizontal-relative:page;mso-position-vertical-relative:page;z-index:251676672;mso-width-relative:page;mso-height-relative:page;" filled="f" stroked="t" coordsize="21600,21600" o:gfxdata="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ZrXfZAAAADAEAAA8AAAAAAAAAAQAgAAAAIgAAAGRycy9kb3ducmV2Lnht&#10;bFBLAQIUABQAAAAIAIdO4kCqlEBv+AEAAOoDAAAOAAAAAAAAAAEAIAAAACgBAABkcnMvZTJvRG9j&#10;LnhtbFBLBQYAAAAABgAGAFkBAACSBQAAAAA=&#10;">
                <v:fill on="f" focussize="0,0"/>
                <v:stroke weight="0.48pt" color="#000000" joinstyle="round"/>
                <v:imagedata o:title=""/>
                <o:lock v:ext="edit" aspectratio="f"/>
              </v:line>
            </w:pict>
          </mc:Fallback>
        </mc:AlternateContent>
      </w:r>
    </w:p>
    <w:tbl>
      <w:tblPr>
        <w:tblStyle w:val="14"/>
        <w:tblW w:w="9424" w:type="dxa"/>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0"/>
        <w:gridCol w:w="835"/>
        <w:gridCol w:w="2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970" w:type="dxa"/>
            <w:vAlign w:val="top"/>
          </w:tcPr>
          <w:p>
            <w:pPr>
              <w:pStyle w:val="24"/>
              <w:spacing w:before="12" w:line="208" w:lineRule="exact"/>
              <w:ind w:left="2603" w:right="2595"/>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35" w:type="dxa"/>
            <w:vAlign w:val="top"/>
          </w:tcPr>
          <w:p>
            <w:pPr>
              <w:pStyle w:val="24"/>
              <w:spacing w:before="12" w:line="208" w:lineRule="exact"/>
              <w:ind w:left="192" w:right="18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19" w:type="dxa"/>
            <w:vAlign w:val="top"/>
          </w:tcPr>
          <w:p>
            <w:pPr>
              <w:pStyle w:val="24"/>
              <w:spacing w:before="12" w:line="208" w:lineRule="exact"/>
              <w:ind w:left="928" w:right="915"/>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970" w:type="dxa"/>
            <w:vAlign w:val="top"/>
          </w:tcPr>
          <w:p>
            <w:pPr>
              <w:pStyle w:val="24"/>
              <w:spacing w:before="132"/>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一上肢三大关节中，因骨折累及关节面导致一个关节部分丧失功能</w:t>
            </w:r>
          </w:p>
        </w:tc>
        <w:tc>
          <w:tcPr>
            <w:tcW w:w="835" w:type="dxa"/>
            <w:vAlign w:val="top"/>
          </w:tcPr>
          <w:p>
            <w:pPr>
              <w:pStyle w:val="24"/>
              <w:spacing w:before="132"/>
              <w:ind w:left="197" w:right="18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19" w:type="dxa"/>
            <w:vAlign w:val="top"/>
          </w:tcPr>
          <w:p>
            <w:pPr>
              <w:pStyle w:val="24"/>
              <w:spacing w:before="0" w:line="240" w:lineRule="exact"/>
              <w:ind w:left="110" w:right="483"/>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s7201.851/2, s73001.851/2, s73011.851/2;b7100.2</w:t>
            </w:r>
          </w:p>
        </w:tc>
      </w:tr>
    </w:tbl>
    <w:p>
      <w:pPr>
        <w:spacing w:before="38" w:line="324" w:lineRule="auto"/>
        <w:ind w:left="212" w:right="712"/>
        <w:rPr>
          <w:color w:val="000000" w:themeColor="text1"/>
          <w:sz w:val="18"/>
          <w:highlight w:val="none"/>
          <w14:textFill>
            <w14:solidFill>
              <w14:schemeClr w14:val="tx1"/>
            </w14:solidFill>
          </w14:textFill>
        </w:rPr>
      </w:pPr>
      <w:r>
        <w:rPr>
          <w:color w:val="000000" w:themeColor="text1"/>
          <w:spacing w:val="1"/>
          <w:sz w:val="18"/>
          <w:highlight w:val="none"/>
          <w14:textFill>
            <w14:solidFill>
              <w14:schemeClr w14:val="tx1"/>
            </w14:solidFill>
          </w14:textFill>
        </w:rPr>
        <w:t>表注：手缺失和丧失功能的计算：一手拇指占一手功能的</w:t>
      </w:r>
      <w:r>
        <w:rPr>
          <w:rFonts w:eastAsia="Times New Roman"/>
          <w:color w:val="000000" w:themeColor="text1"/>
          <w:sz w:val="18"/>
          <w:highlight w:val="none"/>
          <w14:textFill>
            <w14:solidFill>
              <w14:schemeClr w14:val="tx1"/>
            </w14:solidFill>
          </w14:textFill>
        </w:rPr>
        <w:t>36%</w:t>
      </w:r>
      <w:r>
        <w:rPr>
          <w:color w:val="000000" w:themeColor="text1"/>
          <w:spacing w:val="2"/>
          <w:sz w:val="18"/>
          <w:highlight w:val="none"/>
          <w14:textFill>
            <w14:solidFill>
              <w14:schemeClr w14:val="tx1"/>
            </w14:solidFill>
          </w14:textFill>
        </w:rPr>
        <w:t>，其中末节和近节指节各占</w:t>
      </w:r>
      <w:r>
        <w:rPr>
          <w:rFonts w:eastAsia="Times New Roman"/>
          <w:color w:val="000000" w:themeColor="text1"/>
          <w:sz w:val="18"/>
          <w:highlight w:val="none"/>
          <w14:textFill>
            <w14:solidFill>
              <w14:schemeClr w14:val="tx1"/>
            </w14:solidFill>
          </w14:textFill>
        </w:rPr>
        <w:t>18%</w:t>
      </w:r>
      <w:r>
        <w:rPr>
          <w:color w:val="000000" w:themeColor="text1"/>
          <w:spacing w:val="-2"/>
          <w:sz w:val="18"/>
          <w:highlight w:val="none"/>
          <w14:textFill>
            <w14:solidFill>
              <w14:schemeClr w14:val="tx1"/>
            </w14:solidFill>
          </w14:textFill>
        </w:rPr>
        <w:t>；食指、中指各占一手功</w:t>
      </w:r>
      <w:r>
        <w:rPr>
          <w:color w:val="000000" w:themeColor="text1"/>
          <w:spacing w:val="14"/>
          <w:sz w:val="18"/>
          <w:highlight w:val="none"/>
          <w14:textFill>
            <w14:solidFill>
              <w14:schemeClr w14:val="tx1"/>
            </w14:solidFill>
          </w14:textFill>
        </w:rPr>
        <w:t>能的</w:t>
      </w:r>
      <w:r>
        <w:rPr>
          <w:rFonts w:eastAsia="Times New Roman"/>
          <w:color w:val="000000" w:themeColor="text1"/>
          <w:sz w:val="18"/>
          <w:highlight w:val="none"/>
          <w14:textFill>
            <w14:solidFill>
              <w14:schemeClr w14:val="tx1"/>
            </w14:solidFill>
          </w14:textFill>
        </w:rPr>
        <w:t>18%</w:t>
      </w:r>
      <w:r>
        <w:rPr>
          <w:color w:val="000000" w:themeColor="text1"/>
          <w:spacing w:val="3"/>
          <w:sz w:val="18"/>
          <w:highlight w:val="none"/>
          <w14:textFill>
            <w14:solidFill>
              <w14:schemeClr w14:val="tx1"/>
            </w14:solidFill>
          </w14:textFill>
        </w:rPr>
        <w:t>，其中末节指节占</w:t>
      </w:r>
      <w:r>
        <w:rPr>
          <w:rFonts w:eastAsia="Times New Roman"/>
          <w:color w:val="000000" w:themeColor="text1"/>
          <w:sz w:val="18"/>
          <w:highlight w:val="none"/>
          <w14:textFill>
            <w14:solidFill>
              <w14:schemeClr w14:val="tx1"/>
            </w14:solidFill>
          </w14:textFill>
        </w:rPr>
        <w:t>8%</w:t>
      </w:r>
      <w:r>
        <w:rPr>
          <w:color w:val="000000" w:themeColor="text1"/>
          <w:spacing w:val="4"/>
          <w:sz w:val="18"/>
          <w:highlight w:val="none"/>
          <w14:textFill>
            <w14:solidFill>
              <w14:schemeClr w14:val="tx1"/>
            </w14:solidFill>
          </w14:textFill>
        </w:rPr>
        <w:t>，中节指节占</w:t>
      </w:r>
      <w:r>
        <w:rPr>
          <w:rFonts w:eastAsia="Times New Roman"/>
          <w:color w:val="000000" w:themeColor="text1"/>
          <w:sz w:val="18"/>
          <w:highlight w:val="none"/>
          <w14:textFill>
            <w14:solidFill>
              <w14:schemeClr w14:val="tx1"/>
            </w14:solidFill>
          </w14:textFill>
        </w:rPr>
        <w:t>7%</w:t>
      </w:r>
      <w:r>
        <w:rPr>
          <w:color w:val="000000" w:themeColor="text1"/>
          <w:spacing w:val="4"/>
          <w:sz w:val="18"/>
          <w:highlight w:val="none"/>
          <w14:textFill>
            <w14:solidFill>
              <w14:schemeClr w14:val="tx1"/>
            </w14:solidFill>
          </w14:textFill>
        </w:rPr>
        <w:t>，近节指节占</w:t>
      </w:r>
      <w:r>
        <w:rPr>
          <w:rFonts w:eastAsia="Times New Roman"/>
          <w:color w:val="000000" w:themeColor="text1"/>
          <w:sz w:val="18"/>
          <w:highlight w:val="none"/>
          <w14:textFill>
            <w14:solidFill>
              <w14:schemeClr w14:val="tx1"/>
            </w14:solidFill>
          </w14:textFill>
        </w:rPr>
        <w:t>3%</w:t>
      </w:r>
      <w:r>
        <w:rPr>
          <w:color w:val="000000" w:themeColor="text1"/>
          <w:spacing w:val="2"/>
          <w:sz w:val="18"/>
          <w:highlight w:val="none"/>
          <w14:textFill>
            <w14:solidFill>
              <w14:schemeClr w14:val="tx1"/>
            </w14:solidFill>
          </w14:textFill>
        </w:rPr>
        <w:t>；无名指和小指各占一手功能的</w:t>
      </w:r>
      <w:r>
        <w:rPr>
          <w:rFonts w:eastAsia="Times New Roman"/>
          <w:color w:val="000000" w:themeColor="text1"/>
          <w:sz w:val="18"/>
          <w:highlight w:val="none"/>
          <w14:textFill>
            <w14:solidFill>
              <w14:schemeClr w14:val="tx1"/>
            </w14:solidFill>
          </w14:textFill>
        </w:rPr>
        <w:t>9%</w:t>
      </w:r>
      <w:r>
        <w:rPr>
          <w:color w:val="000000" w:themeColor="text1"/>
          <w:sz w:val="18"/>
          <w:highlight w:val="none"/>
          <w14:textFill>
            <w14:solidFill>
              <w14:schemeClr w14:val="tx1"/>
            </w14:solidFill>
          </w14:textFill>
        </w:rPr>
        <w:t>，其中末节指节占</w:t>
      </w:r>
      <w:r>
        <w:rPr>
          <w:rFonts w:eastAsia="Times New Roman"/>
          <w:color w:val="000000" w:themeColor="text1"/>
          <w:sz w:val="18"/>
          <w:highlight w:val="none"/>
          <w14:textFill>
            <w14:solidFill>
              <w14:schemeClr w14:val="tx1"/>
            </w14:solidFill>
          </w14:textFill>
        </w:rPr>
        <w:t>4%</w:t>
      </w:r>
      <w:r>
        <w:rPr>
          <w:color w:val="000000" w:themeColor="text1"/>
          <w:spacing w:val="-7"/>
          <w:sz w:val="18"/>
          <w:highlight w:val="none"/>
          <w14:textFill>
            <w14:solidFill>
              <w14:schemeClr w14:val="tx1"/>
            </w14:solidFill>
          </w14:textFill>
        </w:rPr>
        <w:t xml:space="preserve">，中节指节占 </w:t>
      </w:r>
      <w:r>
        <w:rPr>
          <w:rFonts w:eastAsia="Times New Roman"/>
          <w:color w:val="000000" w:themeColor="text1"/>
          <w:sz w:val="18"/>
          <w:highlight w:val="none"/>
          <w14:textFill>
            <w14:solidFill>
              <w14:schemeClr w14:val="tx1"/>
            </w14:solidFill>
          </w14:textFill>
        </w:rPr>
        <w:t>3%</w:t>
      </w:r>
      <w:r>
        <w:rPr>
          <w:color w:val="000000" w:themeColor="text1"/>
          <w:spacing w:val="-7"/>
          <w:sz w:val="18"/>
          <w:highlight w:val="none"/>
          <w14:textFill>
            <w14:solidFill>
              <w14:schemeClr w14:val="tx1"/>
            </w14:solidFill>
          </w14:textFill>
        </w:rPr>
        <w:t xml:space="preserve">，近节指节占 </w:t>
      </w:r>
      <w:r>
        <w:rPr>
          <w:rFonts w:eastAsia="Times New Roman"/>
          <w:color w:val="000000" w:themeColor="text1"/>
          <w:sz w:val="18"/>
          <w:highlight w:val="none"/>
          <w14:textFill>
            <w14:solidFill>
              <w14:schemeClr w14:val="tx1"/>
            </w14:solidFill>
          </w14:textFill>
        </w:rPr>
        <w:t>2%</w:t>
      </w:r>
      <w:r>
        <w:rPr>
          <w:color w:val="000000" w:themeColor="text1"/>
          <w:spacing w:val="-5"/>
          <w:sz w:val="18"/>
          <w:highlight w:val="none"/>
          <w14:textFill>
            <w14:solidFill>
              <w14:schemeClr w14:val="tx1"/>
            </w14:solidFill>
          </w14:textFill>
        </w:rPr>
        <w:t xml:space="preserve">。一手掌占一手功能的 </w:t>
      </w:r>
      <w:r>
        <w:rPr>
          <w:rFonts w:eastAsia="Times New Roman"/>
          <w:color w:val="000000" w:themeColor="text1"/>
          <w:sz w:val="18"/>
          <w:highlight w:val="none"/>
          <w14:textFill>
            <w14:solidFill>
              <w14:schemeClr w14:val="tx1"/>
            </w14:solidFill>
          </w14:textFill>
        </w:rPr>
        <w:t>10%</w:t>
      </w:r>
      <w:r>
        <w:rPr>
          <w:color w:val="000000" w:themeColor="text1"/>
          <w:spacing w:val="-6"/>
          <w:sz w:val="18"/>
          <w:highlight w:val="none"/>
          <w14:textFill>
            <w14:solidFill>
              <w14:schemeClr w14:val="tx1"/>
            </w14:solidFill>
          </w14:textFill>
        </w:rPr>
        <w:t xml:space="preserve">，其中第一掌骨占 </w:t>
      </w:r>
      <w:r>
        <w:rPr>
          <w:rFonts w:eastAsia="Times New Roman"/>
          <w:color w:val="000000" w:themeColor="text1"/>
          <w:sz w:val="18"/>
          <w:highlight w:val="none"/>
          <w14:textFill>
            <w14:solidFill>
              <w14:schemeClr w14:val="tx1"/>
            </w14:solidFill>
          </w14:textFill>
        </w:rPr>
        <w:t>4%</w:t>
      </w:r>
      <w:r>
        <w:rPr>
          <w:color w:val="000000" w:themeColor="text1"/>
          <w:spacing w:val="-5"/>
          <w:sz w:val="18"/>
          <w:highlight w:val="none"/>
          <w14:textFill>
            <w14:solidFill>
              <w14:schemeClr w14:val="tx1"/>
            </w14:solidFill>
          </w14:textFill>
        </w:rPr>
        <w:t xml:space="preserve">，第二、第三掌骨各占 </w:t>
      </w:r>
      <w:r>
        <w:rPr>
          <w:rFonts w:eastAsia="Times New Roman"/>
          <w:color w:val="000000" w:themeColor="text1"/>
          <w:sz w:val="18"/>
          <w:highlight w:val="none"/>
          <w14:textFill>
            <w14:solidFill>
              <w14:schemeClr w14:val="tx1"/>
            </w14:solidFill>
          </w14:textFill>
        </w:rPr>
        <w:t>2%</w:t>
      </w:r>
      <w:r>
        <w:rPr>
          <w:color w:val="000000" w:themeColor="text1"/>
          <w:sz w:val="18"/>
          <w:highlight w:val="none"/>
          <w14:textFill>
            <w14:solidFill>
              <w14:schemeClr w14:val="tx1"/>
            </w14:solidFill>
          </w14:textFill>
        </w:rPr>
        <w:t>，第</w:t>
      </w:r>
      <w:r>
        <w:rPr>
          <w:color w:val="000000" w:themeColor="text1"/>
          <w:spacing w:val="-5"/>
          <w:sz w:val="18"/>
          <w:highlight w:val="none"/>
          <w14:textFill>
            <w14:solidFill>
              <w14:schemeClr w14:val="tx1"/>
            </w14:solidFill>
          </w14:textFill>
        </w:rPr>
        <w:t xml:space="preserve">四、第五掌骨各占 </w:t>
      </w:r>
      <w:r>
        <w:rPr>
          <w:rFonts w:eastAsia="Times New Roman"/>
          <w:color w:val="000000" w:themeColor="text1"/>
          <w:sz w:val="18"/>
          <w:highlight w:val="none"/>
          <w14:textFill>
            <w14:solidFill>
              <w14:schemeClr w14:val="tx1"/>
            </w14:solidFill>
          </w14:textFill>
        </w:rPr>
        <w:t>1%</w:t>
      </w:r>
      <w:r>
        <w:rPr>
          <w:color w:val="000000" w:themeColor="text1"/>
          <w:sz w:val="18"/>
          <w:highlight w:val="none"/>
          <w14:textFill>
            <w14:solidFill>
              <w14:schemeClr w14:val="tx1"/>
            </w14:solidFill>
          </w14:textFill>
        </w:rPr>
        <w:t>。本标准中，双手缺失或丧失功能的程度是按前面方式累加计算的结果。</w:t>
      </w:r>
    </w:p>
    <w:p>
      <w:pPr>
        <w:pStyle w:val="20"/>
        <w:numPr>
          <w:ilvl w:val="2"/>
          <w:numId w:val="14"/>
        </w:numPr>
        <w:tabs>
          <w:tab w:val="left" w:pos="845"/>
        </w:tabs>
        <w:autoSpaceDE w:val="0"/>
        <w:autoSpaceDN w:val="0"/>
        <w:spacing w:before="143" w:after="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骨盆部的结构损伤</w:t>
      </w:r>
    </w:p>
    <w:p>
      <w:pPr>
        <w:pStyle w:val="8"/>
        <w:spacing w:before="7"/>
        <w:rPr>
          <w:rFonts w:ascii="黑体"/>
          <w:color w:val="000000" w:themeColor="text1"/>
          <w:sz w:val="15"/>
          <w:highlight w:val="none"/>
          <w14:textFill>
            <w14:solidFill>
              <w14:schemeClr w14:val="tx1"/>
            </w14:solidFill>
          </w14:textFill>
        </w:rPr>
      </w:pPr>
    </w:p>
    <w:p>
      <w:pPr>
        <w:pStyle w:val="8"/>
        <w:spacing w:after="20"/>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表28</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64" w:type="dxa"/>
            <w:vAlign w:val="top"/>
          </w:tcPr>
          <w:p>
            <w:pPr>
              <w:pStyle w:val="24"/>
              <w:spacing w:before="12" w:line="208" w:lineRule="exact"/>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before="12" w:line="208" w:lineRule="exact"/>
              <w:ind w:left="2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骨盆环骨折，且两下肢相对长度相差大于等于 </w:t>
            </w:r>
            <w:r>
              <w:rPr>
                <w:rFonts w:ascii="Times New Roman" w:eastAsia="Times New Roman"/>
                <w:color w:val="000000" w:themeColor="text1"/>
                <w:sz w:val="18"/>
                <w:highlight w:val="none"/>
                <w14:textFill>
                  <w14:solidFill>
                    <w14:schemeClr w14:val="tx1"/>
                  </w14:solidFill>
                </w14:textFill>
              </w:rPr>
              <w:t>8cm</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s7400.259, s750.363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髋臼骨折，且两下肢相对长度相差大于等于 </w:t>
            </w:r>
            <w:r>
              <w:rPr>
                <w:rFonts w:ascii="Times New Roman" w:eastAsia="Times New Roman"/>
                <w:color w:val="000000" w:themeColor="text1"/>
                <w:sz w:val="18"/>
                <w:highlight w:val="none"/>
                <w14:textFill>
                  <w14:solidFill>
                    <w14:schemeClr w14:val="tx1"/>
                  </w14:solidFill>
                </w14:textFill>
              </w:rPr>
              <w:t>8cm</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s7701A.259, s750.363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骨盆环骨折，且两下肢相对长度相差大于等于 </w:t>
            </w:r>
            <w:r>
              <w:rPr>
                <w:rFonts w:ascii="Times New Roman" w:eastAsia="Times New Roman"/>
                <w:color w:val="000000" w:themeColor="text1"/>
                <w:sz w:val="18"/>
                <w:highlight w:val="none"/>
                <w14:textFill>
                  <w14:solidFill>
                    <w14:schemeClr w14:val="tx1"/>
                  </w14:solidFill>
                </w14:textFill>
              </w:rPr>
              <w:t>6cm</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s7400.259, s750.263Z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髋臼骨折，且两下肢相对长度相差大于等于 </w:t>
            </w:r>
            <w:r>
              <w:rPr>
                <w:rFonts w:ascii="Times New Roman" w:eastAsia="Times New Roman"/>
                <w:color w:val="000000" w:themeColor="text1"/>
                <w:sz w:val="18"/>
                <w:highlight w:val="none"/>
                <w14:textFill>
                  <w14:solidFill>
                    <w14:schemeClr w14:val="tx1"/>
                  </w14:solidFill>
                </w14:textFill>
              </w:rPr>
              <w:t>6cm</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s7701A.259, s750.263Z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4" w:type="dxa"/>
            <w:vAlign w:val="top"/>
          </w:tcPr>
          <w:p>
            <w:pPr>
              <w:pStyle w:val="24"/>
              <w:spacing w:before="14"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骨盆环骨折，且两下肢相对长度相差大于等于 </w:t>
            </w:r>
            <w:r>
              <w:rPr>
                <w:rFonts w:ascii="Times New Roman" w:eastAsia="Times New Roman"/>
                <w:color w:val="000000" w:themeColor="text1"/>
                <w:sz w:val="18"/>
                <w:highlight w:val="none"/>
                <w14:textFill>
                  <w14:solidFill>
                    <w14:schemeClr w14:val="tx1"/>
                  </w14:solidFill>
                </w14:textFill>
              </w:rPr>
              <w:t>4cm</w:t>
            </w:r>
          </w:p>
        </w:tc>
        <w:tc>
          <w:tcPr>
            <w:tcW w:w="850" w:type="dxa"/>
            <w:vAlign w:val="top"/>
          </w:tcPr>
          <w:p>
            <w:pPr>
              <w:pStyle w:val="24"/>
              <w:spacing w:before="14"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s7400.259, s750.263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髋臼骨折，且两下肢相对长度相差大于等于 </w:t>
            </w:r>
            <w:r>
              <w:rPr>
                <w:rFonts w:ascii="Times New Roman" w:eastAsia="Times New Roman"/>
                <w:color w:val="000000" w:themeColor="text1"/>
                <w:sz w:val="18"/>
                <w:highlight w:val="none"/>
                <w14:textFill>
                  <w14:solidFill>
                    <w14:schemeClr w14:val="tx1"/>
                  </w14:solidFill>
                </w14:textFill>
              </w:rPr>
              <w:t>4cm</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s7701A.259, s750.263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骨盆环骨折，且两下肢相对长度相差大于等于 </w:t>
            </w:r>
            <w:r>
              <w:rPr>
                <w:rFonts w:ascii="Times New Roman" w:eastAsia="Times New Roman"/>
                <w:color w:val="000000" w:themeColor="text1"/>
                <w:sz w:val="18"/>
                <w:highlight w:val="none"/>
                <w14:textFill>
                  <w14:solidFill>
                    <w14:schemeClr w14:val="tx1"/>
                  </w14:solidFill>
                </w14:textFill>
              </w:rPr>
              <w:t>2cm</w:t>
            </w:r>
          </w:p>
        </w:tc>
        <w:tc>
          <w:tcPr>
            <w:tcW w:w="850" w:type="dxa"/>
            <w:vAlign w:val="top"/>
          </w:tcPr>
          <w:p>
            <w:pPr>
              <w:pStyle w:val="24"/>
              <w:spacing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s7400.259, s750.163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髋臼骨折，且两下肢相对长度相差大于等于 </w:t>
            </w:r>
            <w:r>
              <w:rPr>
                <w:rFonts w:ascii="Times New Roman" w:eastAsia="Times New Roman"/>
                <w:color w:val="000000" w:themeColor="text1"/>
                <w:sz w:val="18"/>
                <w:highlight w:val="none"/>
                <w14:textFill>
                  <w14:solidFill>
                    <w14:schemeClr w14:val="tx1"/>
                  </w14:solidFill>
                </w14:textFill>
              </w:rPr>
              <w:t>2cm</w:t>
            </w:r>
          </w:p>
        </w:tc>
        <w:tc>
          <w:tcPr>
            <w:tcW w:w="850" w:type="dxa"/>
            <w:vAlign w:val="top"/>
          </w:tcPr>
          <w:p>
            <w:pPr>
              <w:pStyle w:val="24"/>
              <w:spacing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s7701A.259, s750.163</w:t>
            </w:r>
          </w:p>
        </w:tc>
      </w:tr>
    </w:tbl>
    <w:p>
      <w:pPr>
        <w:pStyle w:val="20"/>
        <w:numPr>
          <w:ilvl w:val="2"/>
          <w:numId w:val="14"/>
        </w:numPr>
        <w:tabs>
          <w:tab w:val="left" w:pos="845"/>
        </w:tabs>
        <w:autoSpaceDE w:val="0"/>
        <w:autoSpaceDN w:val="0"/>
        <w:spacing w:before="179" w:after="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下肢的结构损伤，足功能或关节功能障碍</w:t>
      </w:r>
    </w:p>
    <w:p>
      <w:pPr>
        <w:pStyle w:val="8"/>
        <w:spacing w:before="6"/>
        <w:rPr>
          <w:rFonts w:ascii="黑体"/>
          <w:color w:val="000000" w:themeColor="text1"/>
          <w:sz w:val="15"/>
          <w:highlight w:val="none"/>
          <w14:textFill>
            <w14:solidFill>
              <w14:schemeClr w14:val="tx1"/>
            </w14:solidFill>
          </w14:textFill>
        </w:rPr>
      </w:pPr>
    </w:p>
    <w:p>
      <w:pPr>
        <w:pStyle w:val="8"/>
        <w:spacing w:after="21"/>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表29</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before="12" w:line="208" w:lineRule="exact"/>
              <w:ind w:left="2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12" w:line="208" w:lineRule="exact"/>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4"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双足跗跖关节以上缺失</w:t>
            </w:r>
          </w:p>
        </w:tc>
        <w:tc>
          <w:tcPr>
            <w:tcW w:w="850" w:type="dxa"/>
            <w:vAlign w:val="top"/>
          </w:tcPr>
          <w:p>
            <w:pPr>
              <w:pStyle w:val="24"/>
              <w:spacing w:before="14"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s75021A.4136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双下肢长度相差大于等于 </w:t>
            </w:r>
            <w:r>
              <w:rPr>
                <w:rFonts w:ascii="Times New Roman" w:eastAsia="Times New Roman"/>
                <w:color w:val="000000" w:themeColor="text1"/>
                <w:sz w:val="18"/>
                <w:highlight w:val="none"/>
                <w14:textFill>
                  <w14:solidFill>
                    <w14:schemeClr w14:val="tx1"/>
                  </w14:solidFill>
                </w14:textFill>
              </w:rPr>
              <w:t>8cm</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双足足弓结构完全破坏</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s75028A.443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一足跗跖关节以上缺失</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s75021A.411/26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13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一下肢三大关节中，有两个关节完全丧失功能</w:t>
            </w:r>
          </w:p>
        </w:tc>
        <w:tc>
          <w:tcPr>
            <w:tcW w:w="850" w:type="dxa"/>
            <w:vAlign w:val="top"/>
          </w:tcPr>
          <w:p>
            <w:pPr>
              <w:pStyle w:val="24"/>
              <w:spacing w:before="131"/>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s75001.881/2, s75011.881/2,</w:t>
            </w:r>
          </w:p>
          <w:p>
            <w:pPr>
              <w:pStyle w:val="24"/>
              <w:spacing w:before="3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s75021.881/2;b7100.4, b7101.3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双下肢长度相差大于等于 </w:t>
            </w:r>
            <w:r>
              <w:rPr>
                <w:rFonts w:ascii="Times New Roman" w:eastAsia="Times New Roman"/>
                <w:color w:val="000000" w:themeColor="text1"/>
                <w:sz w:val="18"/>
                <w:highlight w:val="none"/>
                <w14:textFill>
                  <w14:solidFill>
                    <w14:schemeClr w14:val="tx1"/>
                  </w14:solidFill>
                </w14:textFill>
              </w:rPr>
              <w:t>6cm</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s750.263Z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4" w:type="dxa"/>
            <w:vAlign w:val="top"/>
          </w:tcPr>
          <w:p>
            <w:pPr>
              <w:pStyle w:val="24"/>
              <w:spacing w:before="14"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一足足弓结构完全破坏，另一足足弓结构破坏大于等于 </w:t>
            </w:r>
            <w:r>
              <w:rPr>
                <w:rFonts w:ascii="Times New Roman" w:eastAsia="Times New Roman"/>
                <w:color w:val="000000" w:themeColor="text1"/>
                <w:sz w:val="18"/>
                <w:highlight w:val="none"/>
                <w14:textFill>
                  <w14:solidFill>
                    <w14:schemeClr w14:val="tx1"/>
                  </w14:solidFill>
                </w14:textFill>
              </w:rPr>
              <w:t>1/3</w:t>
            </w:r>
          </w:p>
        </w:tc>
        <w:tc>
          <w:tcPr>
            <w:tcW w:w="850" w:type="dxa"/>
            <w:vAlign w:val="top"/>
          </w:tcPr>
          <w:p>
            <w:pPr>
              <w:pStyle w:val="24"/>
              <w:spacing w:before="14"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s75028A.441/2, s75028A.242/1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双足十趾完全缺失</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s75020A.413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一下肢三大关节中，有一个关节完全丧失功能</w:t>
            </w:r>
          </w:p>
        </w:tc>
        <w:tc>
          <w:tcPr>
            <w:tcW w:w="850" w:type="dxa"/>
            <w:vAlign w:val="top"/>
          </w:tcPr>
          <w:p>
            <w:pPr>
              <w:pStyle w:val="24"/>
              <w:spacing w:before="132"/>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0" w:line="240" w:lineRule="exact"/>
              <w:ind w:right="437"/>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s75001.881/2, s75011.881/2, s75021.881/2;b7100.4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双足十趾完全丧失功能</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s75020A.883;b710.4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双下肢长度相差大于等于 </w:t>
            </w:r>
            <w:r>
              <w:rPr>
                <w:rFonts w:ascii="Times New Roman" w:eastAsia="Times New Roman"/>
                <w:color w:val="000000" w:themeColor="text1"/>
                <w:sz w:val="18"/>
                <w:highlight w:val="none"/>
                <w14:textFill>
                  <w14:solidFill>
                    <w14:schemeClr w14:val="tx1"/>
                  </w14:solidFill>
                </w14:textFill>
              </w:rPr>
              <w:t>4cm</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一足足弓结构完全破坏</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s75028A.441/2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4"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双足十趾中，大于等于五趾完全缺失</w:t>
            </w:r>
          </w:p>
        </w:tc>
        <w:tc>
          <w:tcPr>
            <w:tcW w:w="850" w:type="dxa"/>
            <w:vAlign w:val="top"/>
          </w:tcPr>
          <w:p>
            <w:pPr>
              <w:pStyle w:val="24"/>
              <w:spacing w:before="14"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s75020A.323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一足五趾完全丧失功能</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s75020A.481/2;b710.4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双下肢长度相差大于等于 </w:t>
            </w:r>
            <w:r>
              <w:rPr>
                <w:rFonts w:ascii="Times New Roman" w:eastAsia="Times New Roman"/>
                <w:color w:val="000000" w:themeColor="text1"/>
                <w:sz w:val="18"/>
                <w:highlight w:val="none"/>
                <w14:textFill>
                  <w14:solidFill>
                    <w14:schemeClr w14:val="tx1"/>
                  </w14:solidFill>
                </w14:textFill>
              </w:rPr>
              <w:t>2cm</w:t>
            </w:r>
          </w:p>
        </w:tc>
        <w:tc>
          <w:tcPr>
            <w:tcW w:w="850" w:type="dxa"/>
            <w:vAlign w:val="top"/>
          </w:tcPr>
          <w:p>
            <w:pPr>
              <w:pStyle w:val="24"/>
              <w:spacing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一足足弓结构破坏大于等于 </w:t>
            </w:r>
            <w:r>
              <w:rPr>
                <w:rFonts w:ascii="Times New Roman" w:eastAsia="Times New Roman"/>
                <w:color w:val="000000" w:themeColor="text1"/>
                <w:sz w:val="18"/>
                <w:highlight w:val="none"/>
                <w14:textFill>
                  <w14:solidFill>
                    <w14:schemeClr w14:val="tx1"/>
                  </w14:solidFill>
                </w14:textFill>
              </w:rPr>
              <w:t>1/3</w:t>
            </w:r>
          </w:p>
        </w:tc>
        <w:tc>
          <w:tcPr>
            <w:tcW w:w="850" w:type="dxa"/>
            <w:vAlign w:val="top"/>
          </w:tcPr>
          <w:p>
            <w:pPr>
              <w:pStyle w:val="24"/>
              <w:spacing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s75028A.241/2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双足十趾中，大于等于两趾完全缺失</w:t>
            </w:r>
          </w:p>
        </w:tc>
        <w:tc>
          <w:tcPr>
            <w:tcW w:w="850" w:type="dxa"/>
            <w:vAlign w:val="top"/>
          </w:tcPr>
          <w:p>
            <w:pPr>
              <w:pStyle w:val="24"/>
              <w:spacing w:before="12" w:line="208" w:lineRule="exact"/>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s75020A.223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064" w:type="dxa"/>
            <w:vAlign w:val="top"/>
          </w:tcPr>
          <w:p>
            <w:pPr>
              <w:pStyle w:val="24"/>
              <w:spacing w:before="13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一下肢三大关节中，因骨折累及关节面导致一个关节部分丧失功能</w:t>
            </w:r>
          </w:p>
        </w:tc>
        <w:tc>
          <w:tcPr>
            <w:tcW w:w="850" w:type="dxa"/>
            <w:vAlign w:val="top"/>
          </w:tcPr>
          <w:p>
            <w:pPr>
              <w:pStyle w:val="24"/>
              <w:spacing w:before="131"/>
              <w:ind w:left="22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3"/>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s75001.851/2, s75011.851/2,</w:t>
            </w:r>
          </w:p>
          <w:p>
            <w:pPr>
              <w:pStyle w:val="24"/>
              <w:spacing w:before="33" w:line="198"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s75021.851/2;b7100.2</w:t>
            </w:r>
          </w:p>
        </w:tc>
      </w:tr>
    </w:tbl>
    <w:p>
      <w:pPr>
        <w:spacing w:before="38"/>
        <w:ind w:left="21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 ① 足弓结构破坏：指意外损伤导致的足弓缺失或丧失功能。</w:t>
      </w:r>
    </w:p>
    <w:p>
      <w:pPr>
        <w:spacing w:before="81" w:line="324" w:lineRule="auto"/>
        <w:ind w:left="212" w:right="652" w:firstLine="605"/>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② 足弓结构完全破坏指足的内、外侧纵弓和横弓结构完全破坏，包括缺失和丧失功能；足弓 1/3 结构破坏指足三弓的任一弓的结构破坏。</w:t>
      </w:r>
    </w:p>
    <w:p>
      <w:pPr>
        <w:spacing w:before="2"/>
        <w:ind w:left="81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③ 足趾缺失：指自趾关节以上完全切断。</w:t>
      </w:r>
    </w:p>
    <w:p>
      <w:pPr>
        <w:rPr>
          <w:color w:val="000000" w:themeColor="text1"/>
          <w:sz w:val="18"/>
          <w:highlight w:val="none"/>
          <w14:textFill>
            <w14:solidFill>
              <w14:schemeClr w14:val="tx1"/>
            </w14:solidFill>
          </w14:textFill>
        </w:rPr>
        <w:sectPr>
          <w:pgSz w:w="11910" w:h="16840"/>
          <w:pgMar w:top="2180" w:right="700" w:bottom="1340" w:left="920" w:header="1441" w:footer="1140" w:gutter="0"/>
          <w:cols w:space="720" w:num="1"/>
        </w:sectPr>
      </w:pPr>
    </w:p>
    <w:p>
      <w:pPr>
        <w:pStyle w:val="8"/>
        <w:spacing w:before="7"/>
        <w:rPr>
          <w:color w:val="000000" w:themeColor="text1"/>
          <w:sz w:val="14"/>
          <w:highlight w:val="none"/>
          <w14:textFill>
            <w14:solidFill>
              <w14:schemeClr w14:val="tx1"/>
            </w14:solidFill>
          </w14:textFill>
        </w:rPr>
      </w:pPr>
    </w:p>
    <w:p>
      <w:pPr>
        <w:pStyle w:val="20"/>
        <w:numPr>
          <w:ilvl w:val="2"/>
          <w:numId w:val="14"/>
        </w:numPr>
        <w:tabs>
          <w:tab w:val="left" w:pos="1128"/>
        </w:tabs>
        <w:autoSpaceDE w:val="0"/>
        <w:autoSpaceDN w:val="0"/>
        <w:spacing w:before="72" w:after="0"/>
        <w:ind w:left="1127" w:hanging="631"/>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四肢的结构损伤，肢体功能或关节功能障碍</w:t>
      </w:r>
    </w:p>
    <w:p>
      <w:pPr>
        <w:pStyle w:val="8"/>
        <w:spacing w:before="6"/>
        <w:rPr>
          <w:rFonts w:ascii="黑体"/>
          <w:color w:val="000000" w:themeColor="text1"/>
          <w:sz w:val="15"/>
          <w:highlight w:val="none"/>
          <w14:textFill>
            <w14:solidFill>
              <w14:schemeClr w14:val="tx1"/>
            </w14:solidFill>
          </w14:textFill>
        </w:rPr>
      </w:pPr>
    </w:p>
    <w:p>
      <w:pPr>
        <w:pStyle w:val="8"/>
        <w:spacing w:after="21"/>
        <w:ind w:left="4963"/>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表30</w:t>
      </w: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0"/>
        <w:gridCol w:w="849"/>
        <w:gridCol w:w="2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80" w:type="dxa"/>
            <w:vAlign w:val="top"/>
          </w:tcPr>
          <w:p>
            <w:pPr>
              <w:pStyle w:val="24"/>
              <w:spacing w:before="12" w:line="208" w:lineRule="exact"/>
              <w:ind w:left="2509" w:right="250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943" w:type="dxa"/>
            <w:vAlign w:val="top"/>
          </w:tcPr>
          <w:p>
            <w:pPr>
              <w:pStyle w:val="24"/>
              <w:spacing w:before="12" w:line="208" w:lineRule="exact"/>
              <w:ind w:left="1093" w:right="107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780" w:type="dxa"/>
            <w:vAlign w:val="top"/>
          </w:tcPr>
          <w:p>
            <w:pPr>
              <w:pStyle w:val="24"/>
              <w:spacing w:before="131"/>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三肢以上缺失</w:t>
            </w:r>
            <w:r>
              <w:rPr>
                <w:rFonts w:hint="eastAsia" w:ascii="Times New Roman"/>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上肢在腕关节以上</w:t>
            </w:r>
            <w:r>
              <w:rPr>
                <w:rFonts w:ascii="Times New Roman" w:eastAsia="Times New Roman"/>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下肢在踝关节以上</w:t>
            </w:r>
            <w:r>
              <w:rPr>
                <w:rFonts w:hint="eastAsia" w:ascii="Times New Roman"/>
                <w:color w:val="000000" w:themeColor="text1"/>
                <w:sz w:val="18"/>
                <w:highlight w:val="none"/>
                <w:lang w:eastAsia="zh-CN"/>
                <w14:textFill>
                  <w14:solidFill>
                    <w14:schemeClr w14:val="tx1"/>
                  </w14:solidFill>
                </w14:textFill>
              </w:rPr>
              <w:t>）</w:t>
            </w:r>
          </w:p>
        </w:tc>
        <w:tc>
          <w:tcPr>
            <w:tcW w:w="849" w:type="dxa"/>
            <w:vAlign w:val="top"/>
          </w:tcPr>
          <w:p>
            <w:pPr>
              <w:pStyle w:val="24"/>
              <w:spacing w:before="131"/>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943" w:type="dxa"/>
            <w:vAlign w:val="top"/>
          </w:tcPr>
          <w:p>
            <w:pPr>
              <w:pStyle w:val="24"/>
              <w:spacing w:before="23"/>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s73011.4136, s75021.411/26/</w:t>
            </w:r>
          </w:p>
          <w:p>
            <w:pPr>
              <w:pStyle w:val="24"/>
              <w:spacing w:before="3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s73011.411/26, s75021.4136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780" w:type="dxa"/>
            <w:vAlign w:val="top"/>
          </w:tcPr>
          <w:p>
            <w:pPr>
              <w:pStyle w:val="24"/>
              <w:spacing w:before="8"/>
              <w:ind w:left="0"/>
              <w:rPr>
                <w:rFonts w:ascii="黑体"/>
                <w:color w:val="000000" w:themeColor="text1"/>
                <w:sz w:val="19"/>
                <w:highlight w:val="none"/>
                <w14:textFill>
                  <w14:solidFill>
                    <w14:schemeClr w14:val="tx1"/>
                  </w14:solidFill>
                </w14:textFill>
              </w:rPr>
            </w:pPr>
          </w:p>
          <w:p>
            <w:pPr>
              <w:pStyle w:val="24"/>
              <w:spacing w:before="0" w:line="249" w:lineRule="auto"/>
              <w:ind w:right="5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二肢缺失（上肢在腕关节以上，下肢在踝关节以上），且第三肢完全丧失功能</w:t>
            </w:r>
          </w:p>
        </w:tc>
        <w:tc>
          <w:tcPr>
            <w:tcW w:w="849" w:type="dxa"/>
            <w:vAlign w:val="top"/>
          </w:tcPr>
          <w:p>
            <w:pPr>
              <w:pStyle w:val="24"/>
              <w:spacing w:before="0"/>
              <w:ind w:left="0"/>
              <w:rPr>
                <w:rFonts w:ascii="黑体"/>
                <w:color w:val="000000" w:themeColor="text1"/>
                <w:sz w:val="29"/>
                <w:highlight w:val="none"/>
                <w14:textFill>
                  <w14:solidFill>
                    <w14:schemeClr w14:val="tx1"/>
                  </w14:solidFill>
                </w14:textFill>
              </w:rPr>
            </w:pPr>
          </w:p>
          <w:p>
            <w:pPr>
              <w:pStyle w:val="24"/>
              <w:spacing w:before="0"/>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943" w:type="dxa"/>
            <w:vAlign w:val="top"/>
          </w:tcPr>
          <w:p>
            <w:pPr>
              <w:pStyle w:val="24"/>
              <w:spacing w:before="23" w:line="278" w:lineRule="auto"/>
              <w:ind w:left="110" w:right="413"/>
              <w:jc w:val="both"/>
              <w:rPr>
                <w:rFonts w:ascii="Times New Roman"/>
                <w:color w:val="000000" w:themeColor="text1"/>
                <w:sz w:val="18"/>
                <w:highlight w:val="none"/>
                <w:lang w:val="en-US"/>
                <w14:textFill>
                  <w14:solidFill>
                    <w14:schemeClr w14:val="tx1"/>
                  </w14:solidFill>
                </w14:textFill>
              </w:rPr>
            </w:pPr>
            <w:r>
              <w:rPr>
                <w:rFonts w:ascii="Times New Roman"/>
                <w:color w:val="000000" w:themeColor="text1"/>
                <w:sz w:val="18"/>
                <w:highlight w:val="none"/>
                <w:lang w:val="en-US"/>
                <w14:textFill>
                  <w14:solidFill>
                    <w14:schemeClr w14:val="tx1"/>
                  </w14:solidFill>
                </w14:textFill>
              </w:rPr>
              <w:t>s73011.4136, s750.881/2;b760.4/ s75021.4136, s730.881/2;b760.4/ s73011.411/26/ s75021.411/26,</w:t>
            </w:r>
          </w:p>
          <w:p>
            <w:pPr>
              <w:pStyle w:val="24"/>
              <w:spacing w:before="0" w:line="196" w:lineRule="exact"/>
              <w:ind w:left="110"/>
              <w:jc w:val="both"/>
              <w:rPr>
                <w:rFonts w:ascii="Times New Roman"/>
                <w:color w:val="000000" w:themeColor="text1"/>
                <w:sz w:val="18"/>
                <w:highlight w:val="none"/>
                <w:lang w:val="en-US"/>
                <w14:textFill>
                  <w14:solidFill>
                    <w14:schemeClr w14:val="tx1"/>
                  </w14:solidFill>
                </w14:textFill>
              </w:rPr>
            </w:pPr>
            <w:r>
              <w:rPr>
                <w:rFonts w:ascii="Times New Roman"/>
                <w:color w:val="000000" w:themeColor="text1"/>
                <w:sz w:val="18"/>
                <w:highlight w:val="none"/>
                <w:lang w:val="en-US"/>
                <w14:textFill>
                  <w14:solidFill>
                    <w14:schemeClr w14:val="tx1"/>
                  </w14:solidFill>
                </w14:textFill>
              </w:rPr>
              <w:t>s750.881/2/ s730.881/2;b760.4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780" w:type="dxa"/>
            <w:vAlign w:val="top"/>
          </w:tcPr>
          <w:p>
            <w:pPr>
              <w:pStyle w:val="24"/>
              <w:spacing w:before="134" w:line="249" w:lineRule="auto"/>
              <w:ind w:right="5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一肢缺失（上肢在腕关节以上，下肢在踝关节以上），且另二肢完全丧失功能</w:t>
            </w:r>
          </w:p>
        </w:tc>
        <w:tc>
          <w:tcPr>
            <w:tcW w:w="849" w:type="dxa"/>
            <w:vAlign w:val="top"/>
          </w:tcPr>
          <w:p>
            <w:pPr>
              <w:pStyle w:val="24"/>
              <w:spacing w:before="10"/>
              <w:ind w:left="0"/>
              <w:rPr>
                <w:rFonts w:ascii="黑体"/>
                <w:color w:val="000000" w:themeColor="text1"/>
                <w:sz w:val="19"/>
                <w:highlight w:val="none"/>
                <w14:textFill>
                  <w14:solidFill>
                    <w14:schemeClr w14:val="tx1"/>
                  </w14:solidFill>
                </w14:textFill>
              </w:rPr>
            </w:pPr>
          </w:p>
          <w:p>
            <w:pPr>
              <w:pStyle w:val="24"/>
              <w:spacing w:before="0"/>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943" w:type="dxa"/>
            <w:vAlign w:val="top"/>
          </w:tcPr>
          <w:p>
            <w:pPr>
              <w:pStyle w:val="24"/>
              <w:spacing w:before="2" w:line="240" w:lineRule="exact"/>
              <w:ind w:left="110" w:right="182"/>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s73011.411/26/ s75021.411/26, s750.881/2/ s730.881/2, s730.882/1/ s750.883/1;b760.4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80"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三肢以上完全丧失功能</w:t>
            </w:r>
          </w:p>
        </w:tc>
        <w:tc>
          <w:tcPr>
            <w:tcW w:w="849" w:type="dxa"/>
            <w:vAlign w:val="top"/>
          </w:tcPr>
          <w:p>
            <w:pPr>
              <w:pStyle w:val="24"/>
              <w:spacing w:before="132"/>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943" w:type="dxa"/>
            <w:vAlign w:val="top"/>
          </w:tcPr>
          <w:p>
            <w:pPr>
              <w:pStyle w:val="24"/>
              <w:spacing w:before="0" w:line="240" w:lineRule="exact"/>
              <w:ind w:left="110" w:right="327"/>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s730.883, s750.881/2/ s730.881/2, s750.883;b760.4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780" w:type="dxa"/>
            <w:vAlign w:val="top"/>
          </w:tcPr>
          <w:p>
            <w:pPr>
              <w:pStyle w:val="24"/>
              <w:spacing w:before="131"/>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二肢缺失</w:t>
            </w:r>
            <w:r>
              <w:rPr>
                <w:rFonts w:hint="eastAsia" w:ascii="Times New Roman"/>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上肢在肘关节以上，下肢在膝关节以上</w:t>
            </w:r>
            <w:r>
              <w:rPr>
                <w:rFonts w:hint="eastAsia" w:ascii="Times New Roman"/>
                <w:color w:val="000000" w:themeColor="text1"/>
                <w:sz w:val="18"/>
                <w:highlight w:val="none"/>
                <w:lang w:eastAsia="zh-CN"/>
                <w14:textFill>
                  <w14:solidFill>
                    <w14:schemeClr w14:val="tx1"/>
                  </w14:solidFill>
                </w14:textFill>
              </w:rPr>
              <w:t>）</w:t>
            </w:r>
          </w:p>
        </w:tc>
        <w:tc>
          <w:tcPr>
            <w:tcW w:w="849" w:type="dxa"/>
            <w:vAlign w:val="top"/>
          </w:tcPr>
          <w:p>
            <w:pPr>
              <w:pStyle w:val="24"/>
              <w:spacing w:before="131"/>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943" w:type="dxa"/>
            <w:vAlign w:val="top"/>
          </w:tcPr>
          <w:p>
            <w:pPr>
              <w:pStyle w:val="24"/>
              <w:spacing w:before="23"/>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s73001.4136/ s75011.4136/</w:t>
            </w:r>
          </w:p>
          <w:p>
            <w:pPr>
              <w:pStyle w:val="24"/>
              <w:spacing w:before="3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s73001.411/26/ s75011.411/26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780" w:type="dxa"/>
            <w:vAlign w:val="top"/>
          </w:tcPr>
          <w:p>
            <w:pPr>
              <w:pStyle w:val="24"/>
              <w:spacing w:before="2" w:line="240" w:lineRule="atLeast"/>
              <w:ind w:right="5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一肢缺失（上肢在肘关节以上，下肢在膝关节以上），且另一肢完全丧失功能</w:t>
            </w:r>
          </w:p>
        </w:tc>
        <w:tc>
          <w:tcPr>
            <w:tcW w:w="849" w:type="dxa"/>
            <w:vAlign w:val="top"/>
          </w:tcPr>
          <w:p>
            <w:pPr>
              <w:pStyle w:val="24"/>
              <w:spacing w:before="131"/>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943" w:type="dxa"/>
            <w:vAlign w:val="top"/>
          </w:tcPr>
          <w:p>
            <w:pPr>
              <w:pStyle w:val="24"/>
              <w:spacing w:before="23"/>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s73001.411/26/ s75011.411/26,</w:t>
            </w:r>
          </w:p>
          <w:p>
            <w:pPr>
              <w:pStyle w:val="24"/>
              <w:spacing w:before="3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s750.882/1/ s730.882/1;b760.4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780" w:type="dxa"/>
            <w:vAlign w:val="top"/>
          </w:tcPr>
          <w:p>
            <w:pPr>
              <w:pStyle w:val="24"/>
              <w:spacing w:before="12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二肢完全丧失功能</w:t>
            </w:r>
          </w:p>
        </w:tc>
        <w:tc>
          <w:tcPr>
            <w:tcW w:w="849" w:type="dxa"/>
            <w:vAlign w:val="top"/>
          </w:tcPr>
          <w:p>
            <w:pPr>
              <w:pStyle w:val="24"/>
              <w:spacing w:before="129"/>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943" w:type="dxa"/>
            <w:vAlign w:val="top"/>
          </w:tcPr>
          <w:p>
            <w:pPr>
              <w:pStyle w:val="24"/>
              <w:spacing w:before="21"/>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s730.883/ s750.883/ s730.881/2/</w:t>
            </w:r>
          </w:p>
          <w:p>
            <w:pPr>
              <w:pStyle w:val="24"/>
              <w:spacing w:before="3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s750.881/2;b760.4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780" w:type="dxa"/>
            <w:vAlign w:val="top"/>
          </w:tcPr>
          <w:p>
            <w:pPr>
              <w:pStyle w:val="24"/>
              <w:spacing w:before="131"/>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二肢缺失</w:t>
            </w:r>
            <w:r>
              <w:rPr>
                <w:rFonts w:hint="eastAsia" w:ascii="Times New Roman"/>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上肢在腕关节以上，下肢在踝关节以上</w:t>
            </w:r>
            <w:r>
              <w:rPr>
                <w:rFonts w:hint="eastAsia" w:ascii="Times New Roman"/>
                <w:color w:val="000000" w:themeColor="text1"/>
                <w:sz w:val="18"/>
                <w:highlight w:val="none"/>
                <w:lang w:eastAsia="zh-CN"/>
                <w14:textFill>
                  <w14:solidFill>
                    <w14:schemeClr w14:val="tx1"/>
                  </w14:solidFill>
                </w14:textFill>
              </w:rPr>
              <w:t>）</w:t>
            </w:r>
          </w:p>
        </w:tc>
        <w:tc>
          <w:tcPr>
            <w:tcW w:w="849" w:type="dxa"/>
            <w:vAlign w:val="top"/>
          </w:tcPr>
          <w:p>
            <w:pPr>
              <w:pStyle w:val="24"/>
              <w:spacing w:before="131"/>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943" w:type="dxa"/>
            <w:vAlign w:val="top"/>
          </w:tcPr>
          <w:p>
            <w:pPr>
              <w:pStyle w:val="24"/>
              <w:spacing w:before="23"/>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s73011.4136/ s75021.4136/</w:t>
            </w:r>
          </w:p>
          <w:p>
            <w:pPr>
              <w:pStyle w:val="24"/>
              <w:spacing w:before="3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s73011.411/26/ s75021.411/26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780" w:type="dxa"/>
            <w:vAlign w:val="top"/>
          </w:tcPr>
          <w:p>
            <w:pPr>
              <w:pStyle w:val="24"/>
              <w:spacing w:before="5" w:line="240" w:lineRule="atLeast"/>
              <w:ind w:right="5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一肢缺失（上肢在腕关节以上，下肢在踝关节以上），且另一肢完全丧失功能</w:t>
            </w:r>
          </w:p>
        </w:tc>
        <w:tc>
          <w:tcPr>
            <w:tcW w:w="849" w:type="dxa"/>
            <w:vAlign w:val="top"/>
          </w:tcPr>
          <w:p>
            <w:pPr>
              <w:pStyle w:val="24"/>
              <w:spacing w:before="134"/>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943" w:type="dxa"/>
            <w:vAlign w:val="top"/>
          </w:tcPr>
          <w:p>
            <w:pPr>
              <w:pStyle w:val="24"/>
              <w:spacing w:before="2" w:line="240" w:lineRule="exact"/>
              <w:ind w:left="110" w:right="532"/>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s73011.411/26/ s75021.411/26, s750.882/1/ s730.882/1;b760.4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5780" w:type="dxa"/>
            <w:vAlign w:val="top"/>
          </w:tcPr>
          <w:p>
            <w:pPr>
              <w:pStyle w:val="24"/>
              <w:spacing w:before="5"/>
              <w:ind w:left="0"/>
              <w:rPr>
                <w:rFonts w:ascii="黑体"/>
                <w:color w:val="000000" w:themeColor="text1"/>
                <w:sz w:val="19"/>
                <w:highlight w:val="none"/>
                <w14:textFill>
                  <w14:solidFill>
                    <w14:schemeClr w14:val="tx1"/>
                  </w14:solidFill>
                </w14:textFill>
              </w:rPr>
            </w:pPr>
          </w:p>
          <w:p>
            <w:pPr>
              <w:pStyle w:val="24"/>
              <w:spacing w:before="0" w:line="249" w:lineRule="auto"/>
              <w:ind w:right="7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两上肢、或两下肢、或一上肢及一下肢，各有三大关节中的两个关节完全丧失功能</w:t>
            </w:r>
          </w:p>
        </w:tc>
        <w:tc>
          <w:tcPr>
            <w:tcW w:w="849" w:type="dxa"/>
            <w:vAlign w:val="top"/>
          </w:tcPr>
          <w:p>
            <w:pPr>
              <w:pStyle w:val="24"/>
              <w:spacing w:before="10"/>
              <w:ind w:left="0"/>
              <w:rPr>
                <w:rFonts w:ascii="黑体"/>
                <w:color w:val="000000" w:themeColor="text1"/>
                <w:sz w:val="28"/>
                <w:highlight w:val="none"/>
                <w14:textFill>
                  <w14:solidFill>
                    <w14:schemeClr w14:val="tx1"/>
                  </w14:solidFill>
                </w14:textFill>
              </w:rPr>
            </w:pPr>
          </w:p>
          <w:p>
            <w:pPr>
              <w:pStyle w:val="24"/>
              <w:spacing w:before="0"/>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943" w:type="dxa"/>
            <w:vAlign w:val="top"/>
          </w:tcPr>
          <w:p>
            <w:pPr>
              <w:pStyle w:val="24"/>
              <w:spacing w:before="20" w:line="278" w:lineRule="auto"/>
              <w:ind w:left="110" w:right="467"/>
              <w:rPr>
                <w:rFonts w:ascii="Times New Roman"/>
                <w:color w:val="000000" w:themeColor="text1"/>
                <w:sz w:val="18"/>
                <w:highlight w:val="none"/>
                <w:lang w:val="en-US"/>
                <w14:textFill>
                  <w14:solidFill>
                    <w14:schemeClr w14:val="tx1"/>
                  </w14:solidFill>
                </w14:textFill>
              </w:rPr>
            </w:pPr>
            <w:r>
              <w:rPr>
                <w:rFonts w:ascii="Times New Roman"/>
                <w:color w:val="000000" w:themeColor="text1"/>
                <w:sz w:val="18"/>
                <w:highlight w:val="none"/>
                <w:lang w:val="en-US"/>
                <w14:textFill>
                  <w14:solidFill>
                    <w14:schemeClr w14:val="tx1"/>
                  </w14:solidFill>
                </w14:textFill>
              </w:rPr>
              <w:t>s7201.881/2, s73001.881/2, s73011.881/2;b7100.4, b7101.3/ s75001.881/2, s75011.881/2,</w:t>
            </w:r>
          </w:p>
          <w:p>
            <w:pPr>
              <w:pStyle w:val="24"/>
              <w:spacing w:before="1" w:line="196" w:lineRule="exact"/>
              <w:ind w:left="110"/>
              <w:rPr>
                <w:rFonts w:ascii="Times New Roman"/>
                <w:color w:val="000000" w:themeColor="text1"/>
                <w:sz w:val="18"/>
                <w:highlight w:val="none"/>
                <w:lang w:val="en-US"/>
                <w14:textFill>
                  <w14:solidFill>
                    <w14:schemeClr w14:val="tx1"/>
                  </w14:solidFill>
                </w14:textFill>
              </w:rPr>
            </w:pPr>
            <w:r>
              <w:rPr>
                <w:rFonts w:ascii="Times New Roman"/>
                <w:color w:val="000000" w:themeColor="text1"/>
                <w:sz w:val="18"/>
                <w:highlight w:val="none"/>
                <w:lang w:val="en-US"/>
                <w14:textFill>
                  <w14:solidFill>
                    <w14:schemeClr w14:val="tx1"/>
                  </w14:solidFill>
                </w14:textFill>
              </w:rPr>
              <w:t>s75021.881/2;b7100.4, b7101.3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80" w:type="dxa"/>
            <w:vAlign w:val="top"/>
          </w:tcPr>
          <w:p>
            <w:pPr>
              <w:pStyle w:val="24"/>
              <w:spacing w:line="208" w:lineRule="exact"/>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一肢缺失</w:t>
            </w:r>
            <w:r>
              <w:rPr>
                <w:rFonts w:hint="eastAsia" w:ascii="Times New Roman"/>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上肢在肘关节以上，下肢在膝关节以上</w:t>
            </w:r>
            <w:r>
              <w:rPr>
                <w:rFonts w:hint="eastAsia" w:ascii="Times New Roman"/>
                <w:color w:val="000000" w:themeColor="text1"/>
                <w:sz w:val="18"/>
                <w:highlight w:val="none"/>
                <w:lang w:eastAsia="zh-CN"/>
                <w14:textFill>
                  <w14:solidFill>
                    <w14:schemeClr w14:val="tx1"/>
                  </w14:solidFill>
                </w14:textFill>
              </w:rPr>
              <w:t>）</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s73001.411/26/ s75011.411/26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80"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一肢完全丧失功能</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s730.881/2/ s750.881/2;b760.4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780" w:type="dxa"/>
            <w:vAlign w:val="top"/>
          </w:tcPr>
          <w:p>
            <w:pPr>
              <w:pStyle w:val="24"/>
              <w:spacing w:before="12" w:line="208" w:lineRule="exact"/>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一肢缺失</w:t>
            </w:r>
            <w:r>
              <w:rPr>
                <w:rFonts w:hint="eastAsia" w:ascii="Times New Roman"/>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上肢在腕关节以上，下肢在踝关节以上</w:t>
            </w:r>
            <w:r>
              <w:rPr>
                <w:rFonts w:hint="eastAsia" w:ascii="Times New Roman"/>
                <w:color w:val="000000" w:themeColor="text1"/>
                <w:sz w:val="18"/>
                <w:highlight w:val="none"/>
                <w:lang w:eastAsia="zh-CN"/>
                <w14:textFill>
                  <w14:solidFill>
                    <w14:schemeClr w14:val="tx1"/>
                  </w14:solidFill>
                </w14:textFill>
              </w:rPr>
              <w:t>）</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943" w:type="dxa"/>
            <w:vAlign w:val="top"/>
          </w:tcPr>
          <w:p>
            <w:pPr>
              <w:pStyle w:val="24"/>
              <w:spacing w:before="23" w:line="196" w:lineRule="exact"/>
              <w:ind w:left="110"/>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s73011.411/26/ s75021.411/26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780" w:type="dxa"/>
            <w:vAlign w:val="top"/>
          </w:tcPr>
          <w:p>
            <w:pPr>
              <w:pStyle w:val="24"/>
              <w:spacing w:before="8"/>
              <w:ind w:left="0"/>
              <w:rPr>
                <w:rFonts w:ascii="黑体"/>
                <w:color w:val="000000" w:themeColor="text1"/>
                <w:sz w:val="19"/>
                <w:highlight w:val="none"/>
                <w14:textFill>
                  <w14:solidFill>
                    <w14:schemeClr w14:val="tx1"/>
                  </w14:solidFill>
                </w14:textFill>
              </w:rPr>
            </w:pPr>
          </w:p>
          <w:p>
            <w:pPr>
              <w:pStyle w:val="24"/>
              <w:spacing w:before="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四肢长骨一骺板以上粉碎性骨折</w:t>
            </w:r>
          </w:p>
        </w:tc>
        <w:tc>
          <w:tcPr>
            <w:tcW w:w="849" w:type="dxa"/>
            <w:vAlign w:val="top"/>
          </w:tcPr>
          <w:p>
            <w:pPr>
              <w:pStyle w:val="24"/>
              <w:spacing w:before="8"/>
              <w:ind w:left="0"/>
              <w:rPr>
                <w:rFonts w:ascii="黑体"/>
                <w:color w:val="000000" w:themeColor="text1"/>
                <w:sz w:val="19"/>
                <w:highlight w:val="none"/>
                <w14:textFill>
                  <w14:solidFill>
                    <w14:schemeClr w14:val="tx1"/>
                  </w14:solidFill>
                </w14:textFill>
              </w:rPr>
            </w:pPr>
          </w:p>
          <w:p>
            <w:pPr>
              <w:pStyle w:val="24"/>
              <w:spacing w:before="0"/>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943" w:type="dxa"/>
            <w:vAlign w:val="top"/>
          </w:tcPr>
          <w:p>
            <w:pPr>
              <w:pStyle w:val="24"/>
              <w:spacing w:before="23" w:line="278" w:lineRule="auto"/>
              <w:ind w:left="110" w:right="457"/>
              <w:rPr>
                <w:rFonts w:ascii="Times New Roman"/>
                <w:color w:val="000000" w:themeColor="text1"/>
                <w:sz w:val="18"/>
                <w:highlight w:val="none"/>
                <w:lang w:val="en-US"/>
                <w14:textFill>
                  <w14:solidFill>
                    <w14:schemeClr w14:val="tx1"/>
                  </w14:solidFill>
                </w14:textFill>
              </w:rPr>
            </w:pPr>
            <w:r>
              <w:rPr>
                <w:rFonts w:ascii="Times New Roman"/>
                <w:color w:val="000000" w:themeColor="text1"/>
                <w:sz w:val="18"/>
                <w:highlight w:val="none"/>
                <w:lang w:val="en-US"/>
                <w14:textFill>
                  <w14:solidFill>
                    <w14:schemeClr w14:val="tx1"/>
                  </w14:solidFill>
                </w14:textFill>
              </w:rPr>
              <w:t>s73008A.451/2/ s73008B.451/2/ s73008C.451/2/ s75008A.451/2/</w:t>
            </w:r>
          </w:p>
          <w:p>
            <w:pPr>
              <w:pStyle w:val="24"/>
              <w:spacing w:before="0" w:line="198" w:lineRule="exact"/>
              <w:ind w:left="110"/>
              <w:rPr>
                <w:rFonts w:ascii="Times New Roman"/>
                <w:color w:val="000000" w:themeColor="text1"/>
                <w:sz w:val="18"/>
                <w:highlight w:val="none"/>
                <w:lang w:val="en-US"/>
                <w14:textFill>
                  <w14:solidFill>
                    <w14:schemeClr w14:val="tx1"/>
                  </w14:solidFill>
                </w14:textFill>
              </w:rPr>
            </w:pPr>
            <w:r>
              <w:rPr>
                <w:rFonts w:ascii="Times New Roman"/>
                <w:color w:val="000000" w:themeColor="text1"/>
                <w:sz w:val="18"/>
                <w:highlight w:val="none"/>
                <w:lang w:val="en-US"/>
                <w14:textFill>
                  <w14:solidFill>
                    <w14:schemeClr w14:val="tx1"/>
                  </w14:solidFill>
                </w14:textFill>
              </w:rPr>
              <w:t>s75008B.451/2/ s75008C.451/2</w:t>
            </w:r>
          </w:p>
        </w:tc>
      </w:tr>
    </w:tbl>
    <w:p>
      <w:pPr>
        <w:spacing w:before="38" w:line="324" w:lineRule="auto"/>
        <w:ind w:left="496" w:right="51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表注：① 骺板：骺板的定义只适用于儿童，四肢长骨骺板骨折可能影响肢体发育，如果存在肢体发育障碍的，应当另行评定伤残等级。</w:t>
      </w:r>
    </w:p>
    <w:p>
      <w:pPr>
        <w:spacing w:before="1" w:line="324" w:lineRule="auto"/>
        <w:ind w:left="496" w:right="413" w:firstLine="46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② 肢体丧失功能指意外损伤导致肢体三大关节（上肢腕关节、肘关节、肩关节或下肢踝关节、膝关节、髋关节） 功能的丧失。</w:t>
      </w:r>
    </w:p>
    <w:p>
      <w:pPr>
        <w:spacing w:before="2"/>
        <w:ind w:left="95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③ 关节功能的丧失指关节永久完全僵硬、或麻痹、或关节不能随意识活动。</w:t>
      </w:r>
    </w:p>
    <w:p>
      <w:pPr>
        <w:pStyle w:val="8"/>
        <w:spacing w:before="4"/>
        <w:rPr>
          <w:color w:val="000000" w:themeColor="text1"/>
          <w:sz w:val="17"/>
          <w:highlight w:val="none"/>
          <w14:textFill>
            <w14:solidFill>
              <w14:schemeClr w14:val="tx1"/>
            </w14:solidFill>
          </w14:textFill>
        </w:rPr>
      </w:pPr>
    </w:p>
    <w:p>
      <w:pPr>
        <w:pStyle w:val="20"/>
        <w:numPr>
          <w:ilvl w:val="2"/>
          <w:numId w:val="14"/>
        </w:numPr>
        <w:tabs>
          <w:tab w:val="left" w:pos="1128"/>
        </w:tabs>
        <w:autoSpaceDE w:val="0"/>
        <w:autoSpaceDN w:val="0"/>
        <w:spacing w:after="0"/>
        <w:ind w:left="1127" w:hanging="631"/>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脊柱结构损伤和关节活动功能障碍</w:t>
      </w:r>
    </w:p>
    <w:p>
      <w:pPr>
        <w:pStyle w:val="8"/>
        <w:spacing w:before="7"/>
        <w:rPr>
          <w:rFonts w:ascii="黑体"/>
          <w:color w:val="000000" w:themeColor="text1"/>
          <w:sz w:val="15"/>
          <w:highlight w:val="none"/>
          <w14:textFill>
            <w14:solidFill>
              <w14:schemeClr w14:val="tx1"/>
            </w14:solidFill>
          </w14:textFill>
        </w:rPr>
      </w:pPr>
    </w:p>
    <w:p>
      <w:pPr>
        <w:pStyle w:val="8"/>
        <w:spacing w:line="278" w:lineRule="auto"/>
        <w:ind w:left="496" w:right="426" w:firstLine="42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本标准中的脊柱结构损伤是指颈椎或腰椎的骨折脱位，本标准中的关节活动功能障碍是指颈部或腰</w:t>
      </w:r>
      <w:r>
        <w:rPr>
          <w:color w:val="000000" w:themeColor="text1"/>
          <w:spacing w:val="-5"/>
          <w:highlight w:val="none"/>
          <w14:textFill>
            <w14:solidFill>
              <w14:schemeClr w14:val="tx1"/>
            </w14:solidFill>
          </w14:textFill>
        </w:rPr>
        <w:t>部活动度丧失。</w:t>
      </w:r>
    </w:p>
    <w:p>
      <w:pPr>
        <w:pStyle w:val="8"/>
        <w:spacing w:after="20"/>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31</w:t>
      </w:r>
    </w:p>
    <w:tbl>
      <w:tblPr>
        <w:tblStyle w:val="14"/>
        <w:tblW w:w="9251"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0"/>
        <w:gridCol w:w="852"/>
        <w:gridCol w:w="2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780" w:type="dxa"/>
            <w:vAlign w:val="top"/>
          </w:tcPr>
          <w:p>
            <w:pPr>
              <w:pStyle w:val="24"/>
              <w:spacing w:before="146"/>
              <w:ind w:left="2509" w:right="250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2" w:type="dxa"/>
            <w:vAlign w:val="top"/>
          </w:tcPr>
          <w:p>
            <w:pPr>
              <w:pStyle w:val="24"/>
              <w:spacing w:before="146"/>
              <w:ind w:left="197" w:right="19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19" w:type="dxa"/>
            <w:vAlign w:val="top"/>
          </w:tcPr>
          <w:p>
            <w:pPr>
              <w:pStyle w:val="24"/>
              <w:spacing w:before="146"/>
              <w:ind w:left="926" w:right="91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780" w:type="dxa"/>
            <w:vAlign w:val="top"/>
          </w:tcPr>
          <w:p>
            <w:pPr>
              <w:pStyle w:val="24"/>
              <w:spacing w:before="0"/>
              <w:ind w:left="0"/>
              <w:rPr>
                <w:rFonts w:ascii="黑体"/>
                <w:color w:val="000000" w:themeColor="text1"/>
                <w:sz w:val="20"/>
                <w:highlight w:val="none"/>
                <w14:textFill>
                  <w14:solidFill>
                    <w14:schemeClr w14:val="tx1"/>
                  </w14:solidFill>
                </w14:textFill>
              </w:rPr>
            </w:pPr>
          </w:p>
          <w:p>
            <w:pPr>
              <w:pStyle w:val="24"/>
              <w:spacing w:before="0" w:line="249" w:lineRule="auto"/>
              <w:ind w:right="4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脊柱骨折脱位导致颈椎或腰椎畸形愈合，且颈部或腰部活动度丧失大于等于 75%</w:t>
            </w:r>
          </w:p>
        </w:tc>
        <w:tc>
          <w:tcPr>
            <w:tcW w:w="852" w:type="dxa"/>
            <w:vAlign w:val="top"/>
          </w:tcPr>
          <w:p>
            <w:pPr>
              <w:pStyle w:val="24"/>
              <w:spacing w:before="0"/>
              <w:ind w:left="0"/>
              <w:rPr>
                <w:rFonts w:ascii="黑体"/>
                <w:color w:val="000000" w:themeColor="text1"/>
                <w:sz w:val="18"/>
                <w:highlight w:val="none"/>
                <w14:textFill>
                  <w14:solidFill>
                    <w14:schemeClr w14:val="tx1"/>
                  </w14:solidFill>
                </w14:textFill>
              </w:rPr>
            </w:pPr>
          </w:p>
          <w:p>
            <w:pPr>
              <w:pStyle w:val="24"/>
              <w:spacing w:before="146"/>
              <w:ind w:left="202" w:right="19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7 级</w:t>
            </w:r>
          </w:p>
        </w:tc>
        <w:tc>
          <w:tcPr>
            <w:tcW w:w="2619" w:type="dxa"/>
            <w:vAlign w:val="top"/>
          </w:tcPr>
          <w:p>
            <w:pPr>
              <w:pStyle w:val="24"/>
              <w:spacing w:before="136" w:line="249" w:lineRule="auto"/>
              <w:ind w:right="428"/>
              <w:jc w:val="both"/>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s76000.250/ s76002.250, s76000.240/ s76002.240; b710.3Z</w:t>
            </w:r>
          </w:p>
        </w:tc>
      </w:tr>
    </w:tbl>
    <w:p>
      <w:pPr>
        <w:spacing w:line="249" w:lineRule="auto"/>
        <w:rPr>
          <w:color w:val="000000" w:themeColor="text1"/>
          <w:sz w:val="18"/>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12" w:after="21"/>
        <w:ind w:firstLine="4500" w:firstLineChars="2500"/>
        <w:jc w:val="both"/>
        <w:rPr>
          <w:rFonts w:hint="eastAsia" w:ascii="黑体" w:eastAsia="黑体"/>
          <w:color w:val="000000" w:themeColor="text1"/>
          <w:highlight w:val="none"/>
          <w:lang w:eastAsia="zh-CN"/>
          <w14:textFill>
            <w14:solidFill>
              <w14:schemeClr w14:val="tx1"/>
            </w14:solidFill>
          </w14:textFill>
        </w:rPr>
      </w:pPr>
      <w:r>
        <w:rPr>
          <w:rFonts w:hint="eastAsia" w:ascii="黑体" w:eastAsia="黑体"/>
          <w:color w:val="000000" w:themeColor="text1"/>
          <w:sz w:val="18"/>
          <w:szCs w:val="18"/>
          <w:highlight w:val="none"/>
          <w14:textFill>
            <w14:solidFill>
              <w14:schemeClr w14:val="tx1"/>
            </w14:solidFill>
          </w14:textFill>
        </w:rPr>
        <w:t>续表3</w:t>
      </w:r>
      <w:r>
        <w:rPr>
          <w:rFonts w:hint="eastAsia" w:ascii="黑体" w:eastAsia="黑体"/>
          <w:color w:val="000000" w:themeColor="text1"/>
          <w:sz w:val="18"/>
          <w:szCs w:val="18"/>
          <w:highlight w:val="none"/>
          <w:lang w:val="en-US" w:eastAsia="zh-CN"/>
          <w14:textFill>
            <w14:solidFill>
              <w14:schemeClr w14:val="tx1"/>
            </w14:solidFill>
          </w14:textFill>
        </w:rPr>
        <w:t>1</w:t>
      </w:r>
    </w:p>
    <w:p>
      <w:pPr>
        <w:pStyle w:val="8"/>
        <w:spacing w:before="11"/>
        <w:jc w:val="center"/>
        <w:rPr>
          <w:rFonts w:ascii="黑体"/>
          <w:color w:val="000000" w:themeColor="text1"/>
          <w:sz w:val="3"/>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page">
                  <wp:posOffset>650240</wp:posOffset>
                </wp:positionH>
                <wp:positionV relativeFrom="page">
                  <wp:posOffset>1216025</wp:posOffset>
                </wp:positionV>
                <wp:extent cx="5874385" cy="635"/>
                <wp:effectExtent l="0" t="0" r="0" b="0"/>
                <wp:wrapNone/>
                <wp:docPr id="117" name="直接连接符 117"/>
                <wp:cNvGraphicFramePr/>
                <a:graphic xmlns:a="http://schemas.openxmlformats.org/drawingml/2006/main">
                  <a:graphicData uri="http://schemas.microsoft.com/office/word/2010/wordprocessingShape">
                    <wps:wsp>
                      <wps:cNvCnPr/>
                      <wps:spPr>
                        <a:xfrm>
                          <a:off x="0" y="0"/>
                          <a:ext cx="5874385" cy="6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2pt;margin-top:95.75pt;height:0.05pt;width:462.55pt;mso-position-horizontal-relative:page;mso-position-vertical-relative:page;z-index:251677696;mso-width-relative:page;mso-height-relative:page;" filled="f" stroked="t" coordsize="21600,21600" o:gfxdata="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9nsGnZAAAADAEAAA8AAAAAAAAAAQAgAAAAIgAAAGRycy9kb3ducmV2Lnht&#10;bFBLAQIUABQAAAAIAIdO4kABu3O9+AEAAOoDAAAOAAAAAAAAAAEAIAAAACgBAABkcnMvZTJvRG9j&#10;LnhtbFBLBQYAAAAABgAGAFkBAACSBQAAAAA=&#10;">
                <v:fill on="f" focussize="0,0"/>
                <v:stroke weight="0.48pt" color="#000000" joinstyle="round"/>
                <v:imagedata o:title=""/>
                <o:lock v:ext="edit" aspectratio="f"/>
              </v:line>
            </w:pict>
          </mc:Fallback>
        </mc:AlternateContent>
      </w:r>
    </w:p>
    <w:tbl>
      <w:tblPr>
        <w:tblStyle w:val="14"/>
        <w:tblW w:w="955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1"/>
        <w:gridCol w:w="763"/>
        <w:gridCol w:w="3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781" w:type="dxa"/>
            <w:vAlign w:val="top"/>
          </w:tcPr>
          <w:p>
            <w:pPr>
              <w:pStyle w:val="24"/>
              <w:spacing w:before="14" w:line="210" w:lineRule="exact"/>
              <w:ind w:left="2509" w:right="250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763" w:type="dxa"/>
            <w:vAlign w:val="top"/>
          </w:tcPr>
          <w:p>
            <w:pPr>
              <w:pStyle w:val="24"/>
              <w:spacing w:before="14" w:line="210" w:lineRule="exact"/>
              <w:ind w:left="2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3010" w:type="dxa"/>
            <w:vAlign w:val="top"/>
          </w:tcPr>
          <w:p>
            <w:pPr>
              <w:pStyle w:val="24"/>
              <w:spacing w:before="14" w:line="210" w:lineRule="exact"/>
              <w:ind w:left="925" w:right="91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781" w:type="dxa"/>
            <w:vAlign w:val="top"/>
          </w:tcPr>
          <w:p>
            <w:pPr>
              <w:pStyle w:val="24"/>
              <w:spacing w:before="132" w:line="249" w:lineRule="auto"/>
              <w:ind w:right="5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脊柱骨折脱位导致颈椎或腰椎畸形愈合，且颈部或腰部活动度丧失大于等于 50%</w:t>
            </w:r>
          </w:p>
        </w:tc>
        <w:tc>
          <w:tcPr>
            <w:tcW w:w="763" w:type="dxa"/>
            <w:vAlign w:val="top"/>
          </w:tcPr>
          <w:p>
            <w:pPr>
              <w:pStyle w:val="24"/>
              <w:spacing w:before="8"/>
              <w:ind w:left="0"/>
              <w:rPr>
                <w:rFonts w:ascii="黑体"/>
                <w:color w:val="000000" w:themeColor="text1"/>
                <w:sz w:val="19"/>
                <w:highlight w:val="none"/>
                <w14:textFill>
                  <w14:solidFill>
                    <w14:schemeClr w14:val="tx1"/>
                  </w14:solidFill>
                </w14:textFill>
              </w:rPr>
            </w:pPr>
          </w:p>
          <w:p>
            <w:pPr>
              <w:pStyle w:val="24"/>
              <w:spacing w:before="0"/>
              <w:ind w:left="26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8 级</w:t>
            </w:r>
          </w:p>
        </w:tc>
        <w:tc>
          <w:tcPr>
            <w:tcW w:w="3010" w:type="dxa"/>
            <w:vAlign w:val="top"/>
          </w:tcPr>
          <w:p>
            <w:pPr>
              <w:pStyle w:val="24"/>
              <w:spacing w:before="2" w:line="240" w:lineRule="atLeast"/>
              <w:ind w:right="429"/>
              <w:jc w:val="both"/>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s76000.250/ s76002.250, s76000.240/ s76002.240; b710.3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781" w:type="dxa"/>
            <w:vAlign w:val="top"/>
          </w:tcPr>
          <w:p>
            <w:pPr>
              <w:pStyle w:val="24"/>
              <w:spacing w:before="129" w:line="249" w:lineRule="auto"/>
              <w:ind w:right="5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脊柱骨折脱位导致颈椎或腰椎畸形愈合，且颈部或腰部活动度丧失大于等于 25%</w:t>
            </w:r>
          </w:p>
        </w:tc>
        <w:tc>
          <w:tcPr>
            <w:tcW w:w="763" w:type="dxa"/>
            <w:vAlign w:val="top"/>
          </w:tcPr>
          <w:p>
            <w:pPr>
              <w:pStyle w:val="24"/>
              <w:spacing w:before="5"/>
              <w:ind w:left="0"/>
              <w:rPr>
                <w:rFonts w:ascii="黑体"/>
                <w:color w:val="000000" w:themeColor="text1"/>
                <w:sz w:val="19"/>
                <w:highlight w:val="none"/>
                <w14:textFill>
                  <w14:solidFill>
                    <w14:schemeClr w14:val="tx1"/>
                  </w14:solidFill>
                </w14:textFill>
              </w:rPr>
            </w:pPr>
          </w:p>
          <w:p>
            <w:pPr>
              <w:pStyle w:val="24"/>
              <w:spacing w:before="1"/>
              <w:ind w:left="26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9 级</w:t>
            </w:r>
          </w:p>
        </w:tc>
        <w:tc>
          <w:tcPr>
            <w:tcW w:w="3010" w:type="dxa"/>
            <w:vAlign w:val="top"/>
          </w:tcPr>
          <w:p>
            <w:pPr>
              <w:pStyle w:val="24"/>
              <w:spacing w:before="0" w:line="240" w:lineRule="atLeast"/>
              <w:ind w:right="429"/>
              <w:jc w:val="both"/>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s76000.250/ s76002.250, s76000.240/ s76002.240; b710.2</w:t>
            </w:r>
          </w:p>
        </w:tc>
      </w:tr>
    </w:tbl>
    <w:p>
      <w:pPr>
        <w:pStyle w:val="8"/>
        <w:spacing w:before="4"/>
        <w:rPr>
          <w:rFonts w:ascii="黑体"/>
          <w:color w:val="000000" w:themeColor="text1"/>
          <w:sz w:val="8"/>
          <w:highlight w:val="none"/>
          <w14:textFill>
            <w14:solidFill>
              <w14:schemeClr w14:val="tx1"/>
            </w14:solidFill>
          </w14:textFill>
        </w:rPr>
      </w:pPr>
    </w:p>
    <w:p>
      <w:pPr>
        <w:pStyle w:val="20"/>
        <w:numPr>
          <w:ilvl w:val="2"/>
          <w:numId w:val="14"/>
        </w:numPr>
        <w:tabs>
          <w:tab w:val="left" w:pos="845"/>
        </w:tabs>
        <w:autoSpaceDE w:val="0"/>
        <w:autoSpaceDN w:val="0"/>
        <w:spacing w:before="72" w:after="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肌肉力量功能障碍</w:t>
      </w:r>
    </w:p>
    <w:p>
      <w:pPr>
        <w:pStyle w:val="8"/>
        <w:spacing w:before="7"/>
        <w:rPr>
          <w:rFonts w:ascii="黑体"/>
          <w:color w:val="000000" w:themeColor="text1"/>
          <w:sz w:val="15"/>
          <w:highlight w:val="none"/>
          <w14:textFill>
            <w14:solidFill>
              <w14:schemeClr w14:val="tx1"/>
            </w14:solidFill>
          </w14:textFill>
        </w:rPr>
      </w:pPr>
    </w:p>
    <w:p>
      <w:pPr>
        <w:pStyle w:val="8"/>
        <w:spacing w:line="278" w:lineRule="auto"/>
        <w:ind w:left="212" w:right="709" w:firstLine="420"/>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肌肉力量功能是指与肌肉或肌群收缩产生力量有关的功能。本标准中的肌肉力量功能障碍是指四肢</w:t>
      </w:r>
      <w:r>
        <w:rPr>
          <w:color w:val="000000" w:themeColor="text1"/>
          <w:spacing w:val="-5"/>
          <w:highlight w:val="none"/>
          <w14:textFill>
            <w14:solidFill>
              <w14:schemeClr w14:val="tx1"/>
            </w14:solidFill>
          </w14:textFill>
        </w:rPr>
        <w:t>瘫、偏瘫、截瘫或单瘫。</w:t>
      </w:r>
    </w:p>
    <w:p>
      <w:pPr>
        <w:pStyle w:val="8"/>
        <w:spacing w:after="21"/>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32</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4"/>
        <w:gridCol w:w="85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6064" w:type="dxa"/>
            <w:vAlign w:val="top"/>
          </w:tcPr>
          <w:p>
            <w:pPr>
              <w:pStyle w:val="24"/>
              <w:spacing w:before="35"/>
              <w:ind w:left="2652" w:right="264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before="35"/>
              <w:ind w:left="224" w:right="21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before="35"/>
              <w:ind w:left="947" w:right="93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064" w:type="dxa"/>
            <w:vAlign w:val="top"/>
          </w:tcPr>
          <w:p>
            <w:pPr>
              <w:pStyle w:val="24"/>
              <w:spacing w:before="8"/>
              <w:ind w:left="0"/>
              <w:rPr>
                <w:rFonts w:ascii="黑体"/>
                <w:color w:val="000000" w:themeColor="text1"/>
                <w:sz w:val="19"/>
                <w:highlight w:val="none"/>
                <w14:textFill>
                  <w14:solidFill>
                    <w14:schemeClr w14:val="tx1"/>
                  </w14:solidFill>
                </w14:textFill>
              </w:rPr>
            </w:pPr>
          </w:p>
          <w:p>
            <w:pPr>
              <w:pStyle w:val="24"/>
              <w:spacing w:before="0"/>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四肢瘫（三肢以上肌力小于等于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8"/>
              <w:ind w:left="0"/>
              <w:rPr>
                <w:rFonts w:ascii="黑体"/>
                <w:color w:val="000000" w:themeColor="text1"/>
                <w:sz w:val="19"/>
                <w:highlight w:val="none"/>
                <w14:textFill>
                  <w14:solidFill>
                    <w14:schemeClr w14:val="tx1"/>
                  </w14:solidFill>
                </w14:textFill>
              </w:rPr>
            </w:pPr>
          </w:p>
          <w:p>
            <w:pPr>
              <w:pStyle w:val="24"/>
              <w:spacing w:before="0"/>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660" w:type="dxa"/>
            <w:vAlign w:val="top"/>
          </w:tcPr>
          <w:p>
            <w:pPr>
              <w:pStyle w:val="24"/>
              <w:spacing w:before="23" w:line="278" w:lineRule="auto"/>
              <w:ind w:right="442"/>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s730.883, s750.883;b7304.1, s730.881/2/ s750.881/2/</w:t>
            </w:r>
          </w:p>
          <w:p>
            <w:pPr>
              <w:pStyle w:val="24"/>
              <w:spacing w:before="0"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s730.882/1/ s750.882/1;b7301.2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131"/>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四肢瘫（二肢以上肌力小于等于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31"/>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line="230" w:lineRule="atLeast"/>
              <w:ind w:right="202"/>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s730.883</w:t>
            </w:r>
            <w:r>
              <w:rPr>
                <w:color w:val="000000" w:themeColor="text1"/>
                <w:sz w:val="18"/>
                <w:highlight w:val="none"/>
                <w14:textFill>
                  <w14:solidFill>
                    <w14:schemeClr w14:val="tx1"/>
                  </w14:solidFill>
                </w14:textFill>
              </w:rPr>
              <w:t>，</w:t>
            </w:r>
            <w:r>
              <w:rPr>
                <w:rFonts w:ascii="Times New Roman" w:eastAsia="Times New Roman"/>
                <w:color w:val="000000" w:themeColor="text1"/>
                <w:sz w:val="18"/>
                <w:highlight w:val="none"/>
                <w14:textFill>
                  <w14:solidFill>
                    <w14:schemeClr w14:val="tx1"/>
                  </w14:solidFill>
                </w14:textFill>
              </w:rPr>
              <w:t>s750.883;b7304.1, s730.881/2/ s750.881/2;b7301.3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131"/>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四肢瘫（二肢以上肌力小于等于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31"/>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line="230" w:lineRule="atLeast"/>
              <w:ind w:right="202"/>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s730.883</w:t>
            </w:r>
            <w:r>
              <w:rPr>
                <w:color w:val="000000" w:themeColor="text1"/>
                <w:sz w:val="18"/>
                <w:highlight w:val="none"/>
                <w14:textFill>
                  <w14:solidFill>
                    <w14:schemeClr w14:val="tx1"/>
                  </w14:solidFill>
                </w14:textFill>
              </w:rPr>
              <w:t>，</w:t>
            </w:r>
            <w:r>
              <w:rPr>
                <w:rFonts w:ascii="Times New Roman" w:eastAsia="Times New Roman"/>
                <w:color w:val="000000" w:themeColor="text1"/>
                <w:sz w:val="18"/>
                <w:highlight w:val="none"/>
                <w14:textFill>
                  <w14:solidFill>
                    <w14:schemeClr w14:val="tx1"/>
                  </w14:solidFill>
                </w14:textFill>
              </w:rPr>
              <w:t>s750.883;b7304.1, s730.881/2/ s750.881/2;b7301.2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132"/>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四肢瘫（二肢以上肌力小于等于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32"/>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12" w:line="230" w:lineRule="atLeast"/>
              <w:ind w:right="202"/>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s730.883</w:t>
            </w:r>
            <w:r>
              <w:rPr>
                <w:color w:val="000000" w:themeColor="text1"/>
                <w:sz w:val="18"/>
                <w:highlight w:val="none"/>
                <w14:textFill>
                  <w14:solidFill>
                    <w14:schemeClr w14:val="tx1"/>
                  </w14:solidFill>
                </w14:textFill>
              </w:rPr>
              <w:t>，</w:t>
            </w:r>
            <w:r>
              <w:rPr>
                <w:rFonts w:ascii="Times New Roman" w:eastAsia="Times New Roman"/>
                <w:color w:val="000000" w:themeColor="text1"/>
                <w:sz w:val="18"/>
                <w:highlight w:val="none"/>
                <w14:textFill>
                  <w14:solidFill>
                    <w14:schemeClr w14:val="tx1"/>
                  </w14:solidFill>
                </w14:textFill>
              </w:rPr>
              <w:t>s750.883;b7304.1, s730.881/2/ s750.881/2;b7301.1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064" w:type="dxa"/>
            <w:vAlign w:val="top"/>
          </w:tcPr>
          <w:p>
            <w:pPr>
              <w:pStyle w:val="24"/>
              <w:spacing w:before="134"/>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偏瘫（肌力小于等于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34"/>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before="2" w:line="240" w:lineRule="exact"/>
              <w:ind w:right="797"/>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s730.881/2, s750.881/2, s760.881/2;b7302.3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64" w:type="dxa"/>
            <w:vAlign w:val="top"/>
          </w:tcPr>
          <w:p>
            <w:pPr>
              <w:pStyle w:val="24"/>
              <w:spacing w:before="132"/>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偏瘫（肌力小于等于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32"/>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0" w:line="240" w:lineRule="exact"/>
              <w:ind w:right="797"/>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s730.881/2, s750.881/2, s760.881/2;b7302.2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132"/>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偏瘫（一肢肌力小于等于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32"/>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0" w:line="240" w:lineRule="exact"/>
              <w:ind w:right="327"/>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s730.881/2, s750.881/2, s760.881/2;b7302.1</w:t>
            </w:r>
            <w:r>
              <w:rPr>
                <w:color w:val="000000" w:themeColor="text1"/>
                <w:sz w:val="18"/>
                <w:highlight w:val="none"/>
                <w14:textFill>
                  <w14:solidFill>
                    <w14:schemeClr w14:val="tx1"/>
                  </w14:solidFill>
                </w14:textFill>
              </w:rPr>
              <w:t>，</w:t>
            </w:r>
            <w:r>
              <w:rPr>
                <w:rFonts w:ascii="Times New Roman" w:eastAsia="Times New Roman"/>
                <w:color w:val="000000" w:themeColor="text1"/>
                <w:sz w:val="18"/>
                <w:highlight w:val="none"/>
                <w14:textFill>
                  <w14:solidFill>
                    <w14:schemeClr w14:val="tx1"/>
                  </w14:solidFill>
                </w14:textFill>
              </w:rPr>
              <w:t>b7301.3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131"/>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偏瘫（一肢肌力小于等于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31"/>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3"/>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s730.881/2, s750.881/2,</w:t>
            </w:r>
          </w:p>
          <w:p>
            <w:pPr>
              <w:pStyle w:val="24"/>
              <w:spacing w:before="21" w:line="208" w:lineRule="exact"/>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s760.881/2;b7302.1</w:t>
            </w:r>
            <w:r>
              <w:rPr>
                <w:color w:val="000000" w:themeColor="text1"/>
                <w:sz w:val="18"/>
                <w:highlight w:val="none"/>
                <w14:textFill>
                  <w14:solidFill>
                    <w14:schemeClr w14:val="tx1"/>
                  </w14:solidFill>
                </w14:textFill>
              </w:rPr>
              <w:t>，</w:t>
            </w:r>
            <w:r>
              <w:rPr>
                <w:rFonts w:ascii="Times New Roman" w:eastAsia="Times New Roman"/>
                <w:color w:val="000000" w:themeColor="text1"/>
                <w:sz w:val="18"/>
                <w:highlight w:val="none"/>
                <w14:textFill>
                  <w14:solidFill>
                    <w14:schemeClr w14:val="tx1"/>
                  </w14:solidFill>
                </w14:textFill>
              </w:rPr>
              <w:t>b7301.2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131"/>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偏瘫（一肢肌力小于等于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31"/>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3"/>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s730.881/2, s750.881/2,</w:t>
            </w:r>
          </w:p>
          <w:p>
            <w:pPr>
              <w:pStyle w:val="24"/>
              <w:spacing w:before="3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s760.881/2;b7302.1, b7301.1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截瘫（肌力小于等于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s760.887, s750.883;b7303.3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4" w:type="dxa"/>
            <w:vAlign w:val="top"/>
          </w:tcPr>
          <w:p>
            <w:pPr>
              <w:pStyle w:val="24"/>
              <w:spacing w:before="14" w:line="208" w:lineRule="exact"/>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截瘫（肌力小于等于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4"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s760.887, s750.883;b7303.2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132"/>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截瘫（一肢肌力小于等于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32"/>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12" w:line="230" w:lineRule="atLeast"/>
              <w:ind w:right="307"/>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s760.887, s750.883;b7303.1</w:t>
            </w:r>
            <w:r>
              <w:rPr>
                <w:color w:val="000000" w:themeColor="text1"/>
                <w:sz w:val="18"/>
                <w:highlight w:val="none"/>
                <w14:textFill>
                  <w14:solidFill>
                    <w14:schemeClr w14:val="tx1"/>
                  </w14:solidFill>
                </w14:textFill>
              </w:rPr>
              <w:t xml:space="preserve">， </w:t>
            </w:r>
            <w:r>
              <w:rPr>
                <w:rFonts w:ascii="Times New Roman" w:eastAsia="Times New Roman"/>
                <w:color w:val="000000" w:themeColor="text1"/>
                <w:sz w:val="18"/>
                <w:highlight w:val="none"/>
                <w14:textFill>
                  <w14:solidFill>
                    <w14:schemeClr w14:val="tx1"/>
                  </w14:solidFill>
                </w14:textFill>
              </w:rPr>
              <w:t>s750.881/2;b7301.3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132"/>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截瘫（一肢肌力小于等于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32"/>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12" w:line="230" w:lineRule="atLeast"/>
              <w:ind w:right="307"/>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s760.887, s750.883;b7303.1</w:t>
            </w:r>
            <w:r>
              <w:rPr>
                <w:color w:val="000000" w:themeColor="text1"/>
                <w:sz w:val="18"/>
                <w:highlight w:val="none"/>
                <w14:textFill>
                  <w14:solidFill>
                    <w14:schemeClr w14:val="tx1"/>
                  </w14:solidFill>
                </w14:textFill>
              </w:rPr>
              <w:t xml:space="preserve">， </w:t>
            </w:r>
            <w:r>
              <w:rPr>
                <w:rFonts w:ascii="Times New Roman" w:eastAsia="Times New Roman"/>
                <w:color w:val="000000" w:themeColor="text1"/>
                <w:sz w:val="18"/>
                <w:highlight w:val="none"/>
                <w14:textFill>
                  <w14:solidFill>
                    <w14:schemeClr w14:val="tx1"/>
                  </w14:solidFill>
                </w14:textFill>
              </w:rPr>
              <w:t>s750.881/2;b7301.2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64" w:type="dxa"/>
            <w:vAlign w:val="top"/>
          </w:tcPr>
          <w:p>
            <w:pPr>
              <w:pStyle w:val="24"/>
              <w:spacing w:before="132"/>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截瘫（一肢肌力小于等于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32"/>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12" w:line="230" w:lineRule="atLeast"/>
              <w:ind w:right="307"/>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s760.887, s750.883;b7303.1</w:t>
            </w:r>
            <w:r>
              <w:rPr>
                <w:color w:val="000000" w:themeColor="text1"/>
                <w:sz w:val="18"/>
                <w:highlight w:val="none"/>
                <w14:textFill>
                  <w14:solidFill>
                    <w14:schemeClr w14:val="tx1"/>
                  </w14:solidFill>
                </w14:textFill>
              </w:rPr>
              <w:t xml:space="preserve">， </w:t>
            </w:r>
            <w:r>
              <w:rPr>
                <w:rFonts w:ascii="Times New Roman" w:eastAsia="Times New Roman"/>
                <w:color w:val="000000" w:themeColor="text1"/>
                <w:sz w:val="18"/>
                <w:highlight w:val="none"/>
                <w14:textFill>
                  <w14:solidFill>
                    <w14:schemeClr w14:val="tx1"/>
                  </w14:solidFill>
                </w14:textFill>
              </w:rPr>
              <w:t>s750.881/2;b7301.1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before="12" w:line="208" w:lineRule="exact"/>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单瘫（肌力小于等于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2"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s730.881/2/ s750.881/2;b7301.3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4" w:type="dxa"/>
            <w:vAlign w:val="top"/>
          </w:tcPr>
          <w:p>
            <w:pPr>
              <w:pStyle w:val="24"/>
              <w:spacing w:line="208" w:lineRule="exact"/>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单瘫（肌力小于等于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s730.881/2/ s750.881/2;b7301.2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4" w:type="dxa"/>
            <w:vAlign w:val="top"/>
          </w:tcPr>
          <w:p>
            <w:pPr>
              <w:pStyle w:val="24"/>
              <w:spacing w:before="14" w:line="208" w:lineRule="exact"/>
              <w:rPr>
                <w:rFonts w:hint="eastAsia" w:ascii="Times New Roman"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单瘫（肌力小于等于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p>
        </w:tc>
        <w:tc>
          <w:tcPr>
            <w:tcW w:w="850" w:type="dxa"/>
            <w:vAlign w:val="top"/>
          </w:tcPr>
          <w:p>
            <w:pPr>
              <w:pStyle w:val="24"/>
              <w:spacing w:before="14" w:line="208" w:lineRule="exact"/>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s730.881/2/ s750.881/2;b7301.1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4"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截瘫</w:t>
            </w:r>
            <w:r>
              <w:rPr>
                <w:rFonts w:hint="eastAsia" w:ascii="Times New Roman"/>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 xml:space="preserve">肌力小于等于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r>
              <w:rPr>
                <w:rFonts w:hint="eastAsia" w:ascii="Times New Roman"/>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且大便和小便失禁</w:t>
            </w:r>
          </w:p>
        </w:tc>
        <w:tc>
          <w:tcPr>
            <w:tcW w:w="850" w:type="dxa"/>
            <w:vAlign w:val="top"/>
          </w:tcPr>
          <w:p>
            <w:pPr>
              <w:pStyle w:val="24"/>
              <w:spacing w:before="132"/>
              <w:ind w:left="224" w:right="21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级</w:t>
            </w:r>
          </w:p>
        </w:tc>
        <w:tc>
          <w:tcPr>
            <w:tcW w:w="2660" w:type="dxa"/>
            <w:vAlign w:val="top"/>
          </w:tcPr>
          <w:p>
            <w:pPr>
              <w:pStyle w:val="24"/>
              <w:spacing w:before="0" w:line="240" w:lineRule="exact"/>
              <w:ind w:right="442"/>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s760.887, s750.883;b7303.3, b525.4, b620.4</w:t>
            </w:r>
          </w:p>
        </w:tc>
      </w:tr>
    </w:tbl>
    <w:p>
      <w:pPr>
        <w:spacing w:before="38"/>
        <w:ind w:left="21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表注：① 偏瘫指一侧上下肢的瘫痪。</w:t>
      </w:r>
    </w:p>
    <w:p>
      <w:pPr>
        <w:spacing w:before="81"/>
        <w:ind w:left="75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② 截瘫指脊髓损伤后，受伤平面以下双侧肢体感觉、运动、反射等消失和膀胱、肛门括约肌功能丧失的病症。</w:t>
      </w:r>
    </w:p>
    <w:p>
      <w:pPr>
        <w:spacing w:before="82"/>
        <w:ind w:left="75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③ 单瘫指一个肢体或肢体的某一部分瘫痪。</w:t>
      </w:r>
    </w:p>
    <w:p>
      <w:pPr>
        <w:spacing w:before="81"/>
        <w:ind w:left="75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④ 肌力：为判断肢体瘫痪程度，将肌力分级划分为 </w:t>
      </w:r>
      <w:r>
        <w:rPr>
          <w:rFonts w:eastAsia="Times New Roman"/>
          <w:color w:val="000000" w:themeColor="text1"/>
          <w:sz w:val="18"/>
          <w:highlight w:val="none"/>
          <w14:textFill>
            <w14:solidFill>
              <w14:schemeClr w14:val="tx1"/>
            </w14:solidFill>
          </w14:textFill>
        </w:rPr>
        <w:t xml:space="preserve">0-5 </w:t>
      </w:r>
      <w:r>
        <w:rPr>
          <w:color w:val="000000" w:themeColor="text1"/>
          <w:sz w:val="18"/>
          <w:highlight w:val="none"/>
          <w14:textFill>
            <w14:solidFill>
              <w14:schemeClr w14:val="tx1"/>
            </w14:solidFill>
          </w14:textFill>
        </w:rPr>
        <w:t>级。</w:t>
      </w:r>
    </w:p>
    <w:p>
      <w:pPr>
        <w:spacing w:before="82"/>
        <w:ind w:right="5221"/>
        <w:jc w:val="center"/>
        <w:rPr>
          <w:color w:val="000000" w:themeColor="text1"/>
          <w:sz w:val="18"/>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 xml:space="preserve">0 </w:t>
      </w:r>
      <w:r>
        <w:rPr>
          <w:color w:val="000000" w:themeColor="text1"/>
          <w:sz w:val="18"/>
          <w:highlight w:val="none"/>
          <w14:textFill>
            <w14:solidFill>
              <w14:schemeClr w14:val="tx1"/>
            </w14:solidFill>
          </w14:textFill>
        </w:rPr>
        <w:t>级：肌肉完全瘫痪，毫无收缩。</w:t>
      </w:r>
    </w:p>
    <w:p>
      <w:pPr>
        <w:jc w:val="center"/>
        <w:rPr>
          <w:color w:val="000000" w:themeColor="text1"/>
          <w:sz w:val="18"/>
          <w:highlight w:val="none"/>
          <w14:textFill>
            <w14:solidFill>
              <w14:schemeClr w14:val="tx1"/>
            </w14:solidFill>
          </w14:textFill>
        </w:rPr>
        <w:sectPr>
          <w:headerReference r:id="rId16" w:type="default"/>
          <w:headerReference r:id="rId17" w:type="even"/>
          <w:pgSz w:w="11910" w:h="16840"/>
          <w:pgMar w:top="2180" w:right="700" w:bottom="1340" w:left="920" w:header="1441" w:footer="1140" w:gutter="0"/>
          <w:cols w:space="720" w:num="1"/>
        </w:sectPr>
      </w:pPr>
    </w:p>
    <w:p>
      <w:pPr>
        <w:pStyle w:val="8"/>
        <w:spacing w:before="1"/>
        <w:rPr>
          <w:color w:val="000000" w:themeColor="text1"/>
          <w:sz w:val="15"/>
          <w:highlight w:val="none"/>
          <w14:textFill>
            <w14:solidFill>
              <w14:schemeClr w14:val="tx1"/>
            </w14:solidFill>
          </w14:textFill>
        </w:rPr>
      </w:pPr>
    </w:p>
    <w:p>
      <w:pPr>
        <w:pStyle w:val="20"/>
        <w:numPr>
          <w:ilvl w:val="0"/>
          <w:numId w:val="15"/>
        </w:numPr>
        <w:tabs>
          <w:tab w:val="left" w:pos="1625"/>
        </w:tabs>
        <w:autoSpaceDE w:val="0"/>
        <w:autoSpaceDN w:val="0"/>
        <w:spacing w:before="80" w:after="0"/>
        <w:jc w:val="left"/>
        <w:rPr>
          <w:rFonts w:ascii="宋体"/>
          <w:color w:val="000000" w:themeColor="text1"/>
          <w:sz w:val="18"/>
          <w:highlight w:val="none"/>
          <w14:textFill>
            <w14:solidFill>
              <w14:schemeClr w14:val="tx1"/>
            </w14:solidFill>
          </w14:textFill>
        </w:rPr>
      </w:pPr>
      <w:r>
        <w:rPr>
          <w:rFonts w:hint="eastAsia" w:ascii="宋体"/>
          <w:color w:val="000000" w:themeColor="text1"/>
          <w:spacing w:val="-1"/>
          <w:sz w:val="18"/>
          <w:highlight w:val="none"/>
          <w14:textFill>
            <w14:solidFill>
              <w14:schemeClr w14:val="tx1"/>
            </w14:solidFill>
          </w14:textFill>
        </w:rPr>
        <w:t>级：可看到或触及肌肉轻微收缩，但不能产生动作。</w:t>
      </w:r>
    </w:p>
    <w:p>
      <w:pPr>
        <w:pStyle w:val="20"/>
        <w:numPr>
          <w:ilvl w:val="0"/>
          <w:numId w:val="15"/>
        </w:numPr>
        <w:tabs>
          <w:tab w:val="left" w:pos="1625"/>
        </w:tabs>
        <w:autoSpaceDE w:val="0"/>
        <w:autoSpaceDN w:val="0"/>
        <w:spacing w:before="82" w:after="0"/>
        <w:jc w:val="left"/>
        <w:rPr>
          <w:rFonts w:ascii="宋体"/>
          <w:color w:val="000000" w:themeColor="text1"/>
          <w:sz w:val="18"/>
          <w:highlight w:val="none"/>
          <w14:textFill>
            <w14:solidFill>
              <w14:schemeClr w14:val="tx1"/>
            </w14:solidFill>
          </w14:textFill>
        </w:rPr>
      </w:pPr>
      <w:r>
        <w:rPr>
          <w:rFonts w:hint="eastAsia" w:ascii="宋体"/>
          <w:color w:val="000000" w:themeColor="text1"/>
          <w:spacing w:val="-1"/>
          <w:sz w:val="18"/>
          <w:highlight w:val="none"/>
          <w14:textFill>
            <w14:solidFill>
              <w14:schemeClr w14:val="tx1"/>
            </w14:solidFill>
          </w14:textFill>
        </w:rPr>
        <w:t>级：肌肉在不受重力影响下，可进行运动，即肢体能在床面上移动，但不能抬高。</w:t>
      </w:r>
    </w:p>
    <w:p>
      <w:pPr>
        <w:pStyle w:val="20"/>
        <w:numPr>
          <w:ilvl w:val="0"/>
          <w:numId w:val="15"/>
        </w:numPr>
        <w:tabs>
          <w:tab w:val="left" w:pos="1625"/>
        </w:tabs>
        <w:autoSpaceDE w:val="0"/>
        <w:autoSpaceDN w:val="0"/>
        <w:spacing w:before="81" w:after="0"/>
        <w:jc w:val="left"/>
        <w:rPr>
          <w:rFonts w:ascii="宋体"/>
          <w:color w:val="000000" w:themeColor="text1"/>
          <w:sz w:val="18"/>
          <w:highlight w:val="none"/>
          <w14:textFill>
            <w14:solidFill>
              <w14:schemeClr w14:val="tx1"/>
            </w14:solidFill>
          </w14:textFill>
        </w:rPr>
      </w:pPr>
      <w:r>
        <w:rPr>
          <w:rFonts w:hint="eastAsia" w:ascii="宋体"/>
          <w:color w:val="000000" w:themeColor="text1"/>
          <w:spacing w:val="-1"/>
          <w:sz w:val="18"/>
          <w:highlight w:val="none"/>
          <w14:textFill>
            <w14:solidFill>
              <w14:schemeClr w14:val="tx1"/>
            </w14:solidFill>
          </w14:textFill>
        </w:rPr>
        <w:t>级：在和地心引力相反的方向中尚能完成其动作，但不能对抗外加的阻力。</w:t>
      </w:r>
    </w:p>
    <w:p>
      <w:pPr>
        <w:pStyle w:val="20"/>
        <w:numPr>
          <w:ilvl w:val="0"/>
          <w:numId w:val="15"/>
        </w:numPr>
        <w:tabs>
          <w:tab w:val="left" w:pos="1625"/>
        </w:tabs>
        <w:autoSpaceDE w:val="0"/>
        <w:autoSpaceDN w:val="0"/>
        <w:spacing w:before="82" w:after="0"/>
        <w:jc w:val="left"/>
        <w:rPr>
          <w:rFonts w:ascii="宋体"/>
          <w:color w:val="000000" w:themeColor="text1"/>
          <w:sz w:val="18"/>
          <w:highlight w:val="none"/>
          <w14:textFill>
            <w14:solidFill>
              <w14:schemeClr w14:val="tx1"/>
            </w14:solidFill>
          </w14:textFill>
        </w:rPr>
      </w:pPr>
      <w:r>
        <w:rPr>
          <w:rFonts w:hint="eastAsia" w:ascii="宋体"/>
          <w:color w:val="000000" w:themeColor="text1"/>
          <w:spacing w:val="-1"/>
          <w:sz w:val="18"/>
          <w:highlight w:val="none"/>
          <w14:textFill>
            <w14:solidFill>
              <w14:schemeClr w14:val="tx1"/>
            </w14:solidFill>
          </w14:textFill>
        </w:rPr>
        <w:t>级：能对抗一定的阻力，但较正常人为低。</w:t>
      </w:r>
    </w:p>
    <w:p>
      <w:pPr>
        <w:pStyle w:val="20"/>
        <w:numPr>
          <w:ilvl w:val="0"/>
          <w:numId w:val="15"/>
        </w:numPr>
        <w:tabs>
          <w:tab w:val="left" w:pos="1625"/>
        </w:tabs>
        <w:autoSpaceDE w:val="0"/>
        <w:autoSpaceDN w:val="0"/>
        <w:spacing w:before="81" w:after="0"/>
        <w:jc w:val="left"/>
        <w:rPr>
          <w:rFonts w:ascii="宋体"/>
          <w:color w:val="000000" w:themeColor="text1"/>
          <w:sz w:val="18"/>
          <w:highlight w:val="none"/>
          <w14:textFill>
            <w14:solidFill>
              <w14:schemeClr w14:val="tx1"/>
            </w14:solidFill>
          </w14:textFill>
        </w:rPr>
      </w:pPr>
      <w:r>
        <w:rPr>
          <w:rFonts w:hint="eastAsia" w:ascii="宋体"/>
          <w:color w:val="000000" w:themeColor="text1"/>
          <w:sz w:val="18"/>
          <w:highlight w:val="none"/>
          <w14:textFill>
            <w14:solidFill>
              <w14:schemeClr w14:val="tx1"/>
            </w14:solidFill>
          </w14:textFill>
        </w:rPr>
        <w:t>级：正常肌力。</w:t>
      </w:r>
    </w:p>
    <w:p>
      <w:pPr>
        <w:pStyle w:val="8"/>
        <w:spacing w:before="4"/>
        <w:rPr>
          <w:color w:val="000000" w:themeColor="text1"/>
          <w:sz w:val="17"/>
          <w:highlight w:val="none"/>
          <w14:textFill>
            <w14:solidFill>
              <w14:schemeClr w14:val="tx1"/>
            </w14:solidFill>
          </w14:textFill>
        </w:rPr>
      </w:pPr>
    </w:p>
    <w:p>
      <w:pPr>
        <w:pStyle w:val="20"/>
        <w:numPr>
          <w:ilvl w:val="1"/>
          <w:numId w:val="14"/>
        </w:numPr>
        <w:tabs>
          <w:tab w:val="left" w:pos="867"/>
        </w:tabs>
        <w:autoSpaceDE w:val="0"/>
        <w:autoSpaceDN w:val="0"/>
        <w:spacing w:after="0"/>
        <w:ind w:left="866" w:hanging="37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皮肤和有关的结构和功能</w:t>
      </w:r>
    </w:p>
    <w:p>
      <w:pPr>
        <w:pStyle w:val="8"/>
        <w:spacing w:before="6"/>
        <w:rPr>
          <w:rFonts w:ascii="黑体"/>
          <w:color w:val="000000" w:themeColor="text1"/>
          <w:sz w:val="15"/>
          <w:highlight w:val="none"/>
          <w14:textFill>
            <w14:solidFill>
              <w14:schemeClr w14:val="tx1"/>
            </w14:solidFill>
          </w14:textFill>
        </w:rPr>
      </w:pPr>
    </w:p>
    <w:p>
      <w:pPr>
        <w:pStyle w:val="20"/>
        <w:numPr>
          <w:ilvl w:val="2"/>
          <w:numId w:val="14"/>
        </w:numPr>
        <w:tabs>
          <w:tab w:val="left" w:pos="1128"/>
        </w:tabs>
        <w:autoSpaceDE w:val="0"/>
        <w:autoSpaceDN w:val="0"/>
        <w:spacing w:before="1" w:after="0"/>
        <w:ind w:left="1127" w:hanging="631"/>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头颈部皮肤结构损伤和修复功能障碍</w:t>
      </w:r>
    </w:p>
    <w:p>
      <w:pPr>
        <w:pStyle w:val="8"/>
        <w:spacing w:before="6"/>
        <w:rPr>
          <w:rFonts w:ascii="黑体"/>
          <w:color w:val="000000" w:themeColor="text1"/>
          <w:sz w:val="15"/>
          <w:highlight w:val="none"/>
          <w14:textFill>
            <w14:solidFill>
              <w14:schemeClr w14:val="tx1"/>
            </w14:solidFill>
          </w14:textFill>
        </w:rPr>
      </w:pPr>
    </w:p>
    <w:p>
      <w:pPr>
        <w:pStyle w:val="8"/>
        <w:spacing w:line="278" w:lineRule="auto"/>
        <w:ind w:left="496" w:right="440"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皮肤的修复功能是指修复皮肤破损和其他损伤的功能。本标准中的皮肤修复功能障碍是指瘢痕形成。</w:t>
      </w:r>
    </w:p>
    <w:p>
      <w:pPr>
        <w:pStyle w:val="8"/>
        <w:spacing w:before="1" w:after="20"/>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33</w:t>
      </w: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3"/>
        <w:gridCol w:w="84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ind w:left="2651" w:right="2641"/>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660" w:type="dxa"/>
            <w:vAlign w:val="top"/>
          </w:tcPr>
          <w:p>
            <w:pPr>
              <w:pStyle w:val="24"/>
              <w:spacing w:line="208" w:lineRule="exact"/>
              <w:ind w:left="949" w:right="93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头颈部 </w:t>
            </w:r>
            <w:r>
              <w:rPr>
                <w:rFonts w:ascii="Times New Roman" w:eastAsia="Times New Roman"/>
                <w:color w:val="000000" w:themeColor="text1"/>
                <w:sz w:val="18"/>
                <w:highlight w:val="none"/>
                <w14:textFill>
                  <w14:solidFill>
                    <w14:schemeClr w14:val="tx1"/>
                  </w14:solidFill>
                </w14:textFill>
              </w:rPr>
              <w:t xml:space="preserve">III </w:t>
            </w:r>
            <w:r>
              <w:rPr>
                <w:color w:val="000000" w:themeColor="text1"/>
                <w:sz w:val="18"/>
                <w:highlight w:val="none"/>
                <w14:textFill>
                  <w14:solidFill>
                    <w14:schemeClr w14:val="tx1"/>
                  </w14:solidFill>
                </w14:textFill>
              </w:rPr>
              <w:t xml:space="preserve">度烧伤，面积大于等于全身体表面积的 </w:t>
            </w:r>
            <w:r>
              <w:rPr>
                <w:rFonts w:ascii="Times New Roman" w:eastAsia="Times New Roman"/>
                <w:color w:val="000000" w:themeColor="text1"/>
                <w:sz w:val="18"/>
                <w:highlight w:val="none"/>
                <w14:textFill>
                  <w14:solidFill>
                    <w14:schemeClr w14:val="tx1"/>
                  </w14:solidFill>
                </w14:textFill>
              </w:rPr>
              <w:t>8%</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s8100.178Z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面部皮肤损伤导致瘢痕形成，且瘢痕面积大于等于面部皮肤面积的 </w:t>
            </w:r>
            <w:r>
              <w:rPr>
                <w:rFonts w:ascii="Times New Roman" w:eastAsia="Times New Roman"/>
                <w:color w:val="000000" w:themeColor="text1"/>
                <w:sz w:val="18"/>
                <w:highlight w:val="none"/>
                <w14:textFill>
                  <w14:solidFill>
                    <w14:schemeClr w14:val="tx1"/>
                  </w14:solidFill>
                </w14:textFill>
              </w:rPr>
              <w:t>90%</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s8100B.848;b820.3U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6063" w:type="dxa"/>
            <w:vAlign w:val="top"/>
          </w:tcPr>
          <w:p>
            <w:pPr>
              <w:pStyle w:val="24"/>
              <w:spacing w:before="14"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颈部皮肤损伤导致瘢痕形成，颈部活动度完全丧失</w:t>
            </w:r>
          </w:p>
        </w:tc>
        <w:tc>
          <w:tcPr>
            <w:tcW w:w="849" w:type="dxa"/>
            <w:vAlign w:val="top"/>
          </w:tcPr>
          <w:p>
            <w:pPr>
              <w:pStyle w:val="24"/>
              <w:spacing w:before="14"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s8100.848;b820.3, b7653.4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面部皮肤损伤导致瘢痕形成，且瘢痕面积大于等于面部皮肤面积的 </w:t>
            </w:r>
            <w:r>
              <w:rPr>
                <w:rFonts w:ascii="Times New Roman" w:eastAsia="Times New Roman"/>
                <w:color w:val="000000" w:themeColor="text1"/>
                <w:sz w:val="18"/>
                <w:highlight w:val="none"/>
                <w14:textFill>
                  <w14:solidFill>
                    <w14:schemeClr w14:val="tx1"/>
                  </w14:solidFill>
                </w14:textFill>
              </w:rPr>
              <w:t>80%</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s8100B.848;b820.3V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颈部皮肤损伤导致瘢痕形成，颈部活动度丧失大于等于 </w:t>
            </w:r>
            <w:r>
              <w:rPr>
                <w:rFonts w:ascii="Times New Roman" w:eastAsia="Times New Roman"/>
                <w:color w:val="000000" w:themeColor="text1"/>
                <w:sz w:val="18"/>
                <w:highlight w:val="none"/>
                <w14:textFill>
                  <w14:solidFill>
                    <w14:schemeClr w14:val="tx1"/>
                  </w14:solidFill>
                </w14:textFill>
              </w:rPr>
              <w:t>75%</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s8100.848;b820.3, b7653.3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面部皮肤损伤导致瘢痕形成，且瘢痕面积大于等于面部皮肤面积的 </w:t>
            </w:r>
            <w:r>
              <w:rPr>
                <w:rFonts w:ascii="Times New Roman" w:eastAsia="Times New Roman"/>
                <w:color w:val="000000" w:themeColor="text1"/>
                <w:sz w:val="18"/>
                <w:highlight w:val="none"/>
                <w14:textFill>
                  <w14:solidFill>
                    <w14:schemeClr w14:val="tx1"/>
                  </w14:solidFill>
                </w14:textFill>
              </w:rPr>
              <w:t>60%</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s8100B.848;b820.3Y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头颈部 </w:t>
            </w:r>
            <w:r>
              <w:rPr>
                <w:rFonts w:ascii="Times New Roman" w:eastAsia="Times New Roman"/>
                <w:color w:val="000000" w:themeColor="text1"/>
                <w:sz w:val="18"/>
                <w:highlight w:val="none"/>
                <w14:textFill>
                  <w14:solidFill>
                    <w14:schemeClr w14:val="tx1"/>
                  </w14:solidFill>
                </w14:textFill>
              </w:rPr>
              <w:t xml:space="preserve">III </w:t>
            </w:r>
            <w:r>
              <w:rPr>
                <w:color w:val="000000" w:themeColor="text1"/>
                <w:sz w:val="18"/>
                <w:highlight w:val="none"/>
                <w14:textFill>
                  <w14:solidFill>
                    <w14:schemeClr w14:val="tx1"/>
                  </w14:solidFill>
                </w14:textFill>
              </w:rPr>
              <w:t xml:space="preserve">度烧伤，面积大于等于全身体表面积的 </w:t>
            </w:r>
            <w:r>
              <w:rPr>
                <w:rFonts w:ascii="Times New Roman" w:eastAsia="Times New Roman"/>
                <w:color w:val="000000" w:themeColor="text1"/>
                <w:sz w:val="18"/>
                <w:highlight w:val="none"/>
                <w14:textFill>
                  <w14:solidFill>
                    <w14:schemeClr w14:val="tx1"/>
                  </w14:solidFill>
                </w14:textFill>
              </w:rPr>
              <w:t>5%</w:t>
            </w:r>
            <w:r>
              <w:rPr>
                <w:color w:val="000000" w:themeColor="text1"/>
                <w:sz w:val="18"/>
                <w:highlight w:val="none"/>
                <w14:textFill>
                  <w14:solidFill>
                    <w14:schemeClr w14:val="tx1"/>
                  </w14:solidFill>
                </w14:textFill>
              </w:rPr>
              <w:t xml:space="preserve">，且小于 </w:t>
            </w:r>
            <w:r>
              <w:rPr>
                <w:rFonts w:ascii="Times New Roman" w:eastAsia="Times New Roman"/>
                <w:color w:val="000000" w:themeColor="text1"/>
                <w:sz w:val="18"/>
                <w:highlight w:val="none"/>
                <w14:textFill>
                  <w14:solidFill>
                    <w14:schemeClr w14:val="tx1"/>
                  </w14:solidFill>
                </w14:textFill>
              </w:rPr>
              <w:t>8%</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颈部皮肤损伤导致瘢痕形成，颈部活动度丧失大于等于 </w:t>
            </w:r>
            <w:r>
              <w:rPr>
                <w:rFonts w:ascii="Times New Roman" w:eastAsia="Times New Roman"/>
                <w:color w:val="000000" w:themeColor="text1"/>
                <w:sz w:val="18"/>
                <w:highlight w:val="none"/>
                <w14:textFill>
                  <w14:solidFill>
                    <w14:schemeClr w14:val="tx1"/>
                  </w14:solidFill>
                </w14:textFill>
              </w:rPr>
              <w:t>50%</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s8100.848;b820.2, b7653.3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63" w:type="dxa"/>
            <w:vAlign w:val="top"/>
          </w:tcPr>
          <w:p>
            <w:pPr>
              <w:pStyle w:val="24"/>
              <w:spacing w:before="14"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面部皮肤损伤导致瘢痕形成，且瘢痕面积大于等于面部皮肤面积的 </w:t>
            </w:r>
            <w:r>
              <w:rPr>
                <w:rFonts w:ascii="Times New Roman" w:eastAsia="Times New Roman"/>
                <w:color w:val="000000" w:themeColor="text1"/>
                <w:sz w:val="18"/>
                <w:highlight w:val="none"/>
                <w14:textFill>
                  <w14:solidFill>
                    <w14:schemeClr w14:val="tx1"/>
                  </w14:solidFill>
                </w14:textFill>
              </w:rPr>
              <w:t>40%</w:t>
            </w:r>
          </w:p>
        </w:tc>
        <w:tc>
          <w:tcPr>
            <w:tcW w:w="849" w:type="dxa"/>
            <w:vAlign w:val="top"/>
          </w:tcPr>
          <w:p>
            <w:pPr>
              <w:pStyle w:val="24"/>
              <w:spacing w:before="14"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级</w:t>
            </w:r>
          </w:p>
        </w:tc>
        <w:tc>
          <w:tcPr>
            <w:tcW w:w="2660" w:type="dxa"/>
            <w:vAlign w:val="top"/>
          </w:tcPr>
          <w:p>
            <w:pPr>
              <w:pStyle w:val="24"/>
              <w:spacing w:before="26"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s8100B.848;b820.2X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before="12"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头部撕脱伤后导致头皮缺失，面积大于等于头皮面积的 </w:t>
            </w:r>
            <w:r>
              <w:rPr>
                <w:rFonts w:ascii="Times New Roman" w:eastAsia="Times New Roman"/>
                <w:color w:val="000000" w:themeColor="text1"/>
                <w:sz w:val="18"/>
                <w:highlight w:val="none"/>
                <w14:textFill>
                  <w14:solidFill>
                    <w14:schemeClr w14:val="tx1"/>
                  </w14:solidFill>
                </w14:textFill>
              </w:rPr>
              <w:t>20%</w:t>
            </w:r>
          </w:p>
        </w:tc>
        <w:tc>
          <w:tcPr>
            <w:tcW w:w="849" w:type="dxa"/>
            <w:vAlign w:val="top"/>
          </w:tcPr>
          <w:p>
            <w:pPr>
              <w:pStyle w:val="24"/>
              <w:spacing w:before="12"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s8100A.128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面部皮肤损伤导致瘢痕形成，且瘢痕面积大于等于面部皮肤面积的 </w:t>
            </w:r>
            <w:r>
              <w:rPr>
                <w:rFonts w:ascii="Times New Roman" w:eastAsia="Times New Roman"/>
                <w:color w:val="000000" w:themeColor="text1"/>
                <w:sz w:val="18"/>
                <w:highlight w:val="none"/>
                <w14:textFill>
                  <w14:solidFill>
                    <w14:schemeClr w14:val="tx1"/>
                  </w14:solidFill>
                </w14:textFill>
              </w:rPr>
              <w:t>20%</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s8100B.848;b820.2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063" w:type="dxa"/>
            <w:vAlign w:val="top"/>
          </w:tcPr>
          <w:p>
            <w:pPr>
              <w:pStyle w:val="24"/>
              <w:spacing w:before="3" w:line="240" w:lineRule="atLeast"/>
              <w:ind w:right="183"/>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颈部皮肤损伤导致颈前三角区瘢痕形成，且瘢痕面积大于等于颈前三角区面积的 </w:t>
            </w:r>
            <w:r>
              <w:rPr>
                <w:rFonts w:ascii="Times New Roman" w:eastAsia="Times New Roman"/>
                <w:color w:val="000000" w:themeColor="text1"/>
                <w:sz w:val="18"/>
                <w:highlight w:val="none"/>
                <w14:textFill>
                  <w14:solidFill>
                    <w14:schemeClr w14:val="tx1"/>
                  </w14:solidFill>
                </w14:textFill>
              </w:rPr>
              <w:t>75%</w:t>
            </w:r>
          </w:p>
        </w:tc>
        <w:tc>
          <w:tcPr>
            <w:tcW w:w="849" w:type="dxa"/>
            <w:vAlign w:val="top"/>
          </w:tcPr>
          <w:p>
            <w:pPr>
              <w:pStyle w:val="24"/>
              <w:spacing w:before="132"/>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144"/>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s8100.344Z;b820.3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6063" w:type="dxa"/>
            <w:vAlign w:val="top"/>
          </w:tcPr>
          <w:p>
            <w:pPr>
              <w:pStyle w:val="24"/>
              <w:spacing w:before="8"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面部皮肤损伤导致瘢痕形成，且瘢痕面积大于等于 </w:t>
            </w:r>
            <w:r>
              <w:rPr>
                <w:rFonts w:ascii="Times New Roman" w:eastAsia="Times New Roman"/>
                <w:color w:val="000000" w:themeColor="text1"/>
                <w:sz w:val="18"/>
                <w:highlight w:val="none"/>
                <w14:textFill>
                  <w14:solidFill>
                    <w14:schemeClr w14:val="tx1"/>
                  </w14:solidFill>
                </w14:textFill>
              </w:rPr>
              <w:t>24cm</w:t>
            </w:r>
            <w:r>
              <w:rPr>
                <w:rFonts w:ascii="Times New Roman" w:eastAsia="Times New Roman"/>
                <w:color w:val="000000" w:themeColor="text1"/>
                <w:sz w:val="18"/>
                <w:highlight w:val="none"/>
                <w:vertAlign w:val="superscript"/>
                <w14:textFill>
                  <w14:solidFill>
                    <w14:schemeClr w14:val="tx1"/>
                  </w14:solidFill>
                </w14:textFill>
              </w:rPr>
              <w:t>2</w:t>
            </w:r>
          </w:p>
        </w:tc>
        <w:tc>
          <w:tcPr>
            <w:tcW w:w="849" w:type="dxa"/>
            <w:vAlign w:val="top"/>
          </w:tcPr>
          <w:p>
            <w:pPr>
              <w:pStyle w:val="24"/>
              <w:spacing w:before="8"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7 </w:t>
            </w:r>
            <w:r>
              <w:rPr>
                <w:color w:val="000000" w:themeColor="text1"/>
                <w:sz w:val="18"/>
                <w:highlight w:val="none"/>
                <w14:textFill>
                  <w14:solidFill>
                    <w14:schemeClr w14:val="tx1"/>
                  </w14:solidFill>
                </w14:textFill>
              </w:rPr>
              <w:t>级</w:t>
            </w:r>
          </w:p>
        </w:tc>
        <w:tc>
          <w:tcPr>
            <w:tcW w:w="2660" w:type="dxa"/>
            <w:vAlign w:val="top"/>
          </w:tcPr>
          <w:p>
            <w:pPr>
              <w:pStyle w:val="24"/>
              <w:spacing w:before="20"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s8100B.848;b820.1Z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063" w:type="dxa"/>
            <w:vAlign w:val="top"/>
          </w:tcPr>
          <w:p>
            <w:pPr>
              <w:pStyle w:val="24"/>
              <w:spacing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头颈部 </w:t>
            </w:r>
            <w:r>
              <w:rPr>
                <w:rFonts w:ascii="Times New Roman" w:eastAsia="Times New Roman"/>
                <w:color w:val="000000" w:themeColor="text1"/>
                <w:sz w:val="18"/>
                <w:highlight w:val="none"/>
                <w14:textFill>
                  <w14:solidFill>
                    <w14:schemeClr w14:val="tx1"/>
                  </w14:solidFill>
                </w14:textFill>
              </w:rPr>
              <w:t xml:space="preserve">III </w:t>
            </w:r>
            <w:r>
              <w:rPr>
                <w:color w:val="000000" w:themeColor="text1"/>
                <w:sz w:val="18"/>
                <w:highlight w:val="none"/>
                <w14:textFill>
                  <w14:solidFill>
                    <w14:schemeClr w14:val="tx1"/>
                  </w14:solidFill>
                </w14:textFill>
              </w:rPr>
              <w:t xml:space="preserve">度烧伤，面积大于等于全身体表面积的 </w:t>
            </w:r>
            <w:r>
              <w:rPr>
                <w:rFonts w:ascii="Times New Roman" w:eastAsia="Times New Roman"/>
                <w:color w:val="000000" w:themeColor="text1"/>
                <w:sz w:val="18"/>
                <w:highlight w:val="none"/>
                <w14:textFill>
                  <w14:solidFill>
                    <w14:schemeClr w14:val="tx1"/>
                  </w14:solidFill>
                </w14:textFill>
              </w:rPr>
              <w:t>2%</w:t>
            </w:r>
            <w:r>
              <w:rPr>
                <w:color w:val="000000" w:themeColor="text1"/>
                <w:sz w:val="18"/>
                <w:highlight w:val="none"/>
                <w14:textFill>
                  <w14:solidFill>
                    <w14:schemeClr w14:val="tx1"/>
                  </w14:solidFill>
                </w14:textFill>
              </w:rPr>
              <w:t xml:space="preserve">，且小于 </w:t>
            </w:r>
            <w:r>
              <w:rPr>
                <w:rFonts w:ascii="Times New Roman" w:eastAsia="Times New Roman"/>
                <w:color w:val="000000" w:themeColor="text1"/>
                <w:sz w:val="18"/>
                <w:highlight w:val="none"/>
                <w14:textFill>
                  <w14:solidFill>
                    <w14:schemeClr w14:val="tx1"/>
                  </w14:solidFill>
                </w14:textFill>
              </w:rPr>
              <w:t>5%</w:t>
            </w:r>
          </w:p>
        </w:tc>
        <w:tc>
          <w:tcPr>
            <w:tcW w:w="849" w:type="dxa"/>
            <w:vAlign w:val="top"/>
          </w:tcPr>
          <w:p>
            <w:pPr>
              <w:pStyle w:val="24"/>
              <w:spacing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63" w:type="dxa"/>
            <w:vAlign w:val="top"/>
          </w:tcPr>
          <w:p>
            <w:pPr>
              <w:pStyle w:val="24"/>
              <w:spacing w:before="5" w:line="240" w:lineRule="atLeast"/>
              <w:ind w:right="183"/>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颈部皮肤损伤导致颈前三角区瘢痕形成，且瘢痕面积大于等于颈前三角区面积的 </w:t>
            </w:r>
            <w:r>
              <w:rPr>
                <w:rFonts w:ascii="Times New Roman" w:eastAsia="Times New Roman"/>
                <w:color w:val="000000" w:themeColor="text1"/>
                <w:sz w:val="18"/>
                <w:highlight w:val="none"/>
                <w14:textFill>
                  <w14:solidFill>
                    <w14:schemeClr w14:val="tx1"/>
                  </w14:solidFill>
                </w14:textFill>
              </w:rPr>
              <w:t>50%</w:t>
            </w:r>
          </w:p>
        </w:tc>
        <w:tc>
          <w:tcPr>
            <w:tcW w:w="849" w:type="dxa"/>
            <w:vAlign w:val="top"/>
          </w:tcPr>
          <w:p>
            <w:pPr>
              <w:pStyle w:val="24"/>
              <w:spacing w:before="134"/>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146"/>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s8100.344;b820.3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6063" w:type="dxa"/>
            <w:vAlign w:val="top"/>
          </w:tcPr>
          <w:p>
            <w:pPr>
              <w:pStyle w:val="24"/>
              <w:spacing w:before="9" w:line="208" w:lineRule="exact"/>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面部皮肤损伤导致瘢痕形成，且瘢痕面积大于等于 </w:t>
            </w:r>
            <w:r>
              <w:rPr>
                <w:rFonts w:ascii="Times New Roman" w:eastAsia="Times New Roman"/>
                <w:color w:val="000000" w:themeColor="text1"/>
                <w:sz w:val="18"/>
                <w:highlight w:val="none"/>
                <w14:textFill>
                  <w14:solidFill>
                    <w14:schemeClr w14:val="tx1"/>
                  </w14:solidFill>
                </w14:textFill>
              </w:rPr>
              <w:t>18cm</w:t>
            </w:r>
            <w:r>
              <w:rPr>
                <w:rFonts w:ascii="Times New Roman" w:eastAsia="Times New Roman"/>
                <w:color w:val="000000" w:themeColor="text1"/>
                <w:sz w:val="18"/>
                <w:highlight w:val="none"/>
                <w:vertAlign w:val="superscript"/>
                <w14:textFill>
                  <w14:solidFill>
                    <w14:schemeClr w14:val="tx1"/>
                  </w14:solidFill>
                </w14:textFill>
              </w:rPr>
              <w:t>2</w:t>
            </w:r>
          </w:p>
        </w:tc>
        <w:tc>
          <w:tcPr>
            <w:tcW w:w="849" w:type="dxa"/>
            <w:vAlign w:val="top"/>
          </w:tcPr>
          <w:p>
            <w:pPr>
              <w:pStyle w:val="24"/>
              <w:spacing w:before="9" w:line="208" w:lineRule="exact"/>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8 </w:t>
            </w:r>
            <w:r>
              <w:rPr>
                <w:color w:val="000000" w:themeColor="text1"/>
                <w:sz w:val="18"/>
                <w:highlight w:val="none"/>
                <w14:textFill>
                  <w14:solidFill>
                    <w14:schemeClr w14:val="tx1"/>
                  </w14:solidFill>
                </w14:textFill>
              </w:rPr>
              <w:t>级</w:t>
            </w:r>
          </w:p>
        </w:tc>
        <w:tc>
          <w:tcPr>
            <w:tcW w:w="2660" w:type="dxa"/>
            <w:vAlign w:val="top"/>
          </w:tcPr>
          <w:p>
            <w:pPr>
              <w:pStyle w:val="24"/>
              <w:spacing w:before="20"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s8100B.848;b820.0V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063" w:type="dxa"/>
            <w:vAlign w:val="top"/>
          </w:tcPr>
          <w:p>
            <w:pPr>
              <w:pStyle w:val="24"/>
              <w:spacing w:before="2" w:line="240" w:lineRule="atLeast"/>
              <w:ind w:right="96"/>
              <w:rPr>
                <w:rFonts w:ascii="Times New Roman" w:eastAsia="Times New Roman"/>
                <w:color w:val="000000" w:themeColor="text1"/>
                <w:sz w:val="18"/>
                <w:highlight w:val="none"/>
                <w14:textFill>
                  <w14:solidFill>
                    <w14:schemeClr w14:val="tx1"/>
                  </w14:solidFill>
                </w14:textFill>
              </w:rPr>
            </w:pPr>
            <w:r>
              <w:rPr>
                <w:color w:val="000000" w:themeColor="text1"/>
                <w:spacing w:val="-9"/>
                <w:sz w:val="18"/>
                <w:highlight w:val="none"/>
                <w14:textFill>
                  <w14:solidFill>
                    <w14:schemeClr w14:val="tx1"/>
                  </w14:solidFill>
                </w14:textFill>
              </w:rPr>
              <w:t xml:space="preserve">面部皮肤损伤导致瘢痕形成，且瘢痕面积大于等于 </w:t>
            </w:r>
            <w:r>
              <w:rPr>
                <w:rFonts w:ascii="Times New Roman" w:eastAsia="Times New Roman"/>
                <w:color w:val="000000" w:themeColor="text1"/>
                <w:sz w:val="18"/>
                <w:highlight w:val="none"/>
                <w14:textFill>
                  <w14:solidFill>
                    <w14:schemeClr w14:val="tx1"/>
                  </w14:solidFill>
                </w14:textFill>
              </w:rPr>
              <w:t>12cm</w:t>
            </w:r>
            <w:r>
              <w:rPr>
                <w:rFonts w:ascii="Times New Roman" w:eastAsia="Times New Roman"/>
                <w:color w:val="000000" w:themeColor="text1"/>
                <w:sz w:val="18"/>
                <w:highlight w:val="none"/>
                <w:vertAlign w:val="superscript"/>
                <w14:textFill>
                  <w14:solidFill>
                    <w14:schemeClr w14:val="tx1"/>
                  </w14:solidFill>
                </w14:textFill>
              </w:rPr>
              <w:t>2</w:t>
            </w:r>
            <w:r>
              <w:rPr>
                <w:rFonts w:ascii="Times New Roman" w:eastAsia="Times New Roman"/>
                <w:color w:val="000000" w:themeColor="text1"/>
                <w:sz w:val="18"/>
                <w:highlight w:val="none"/>
                <w14:textFill>
                  <w14:solidFill>
                    <w14:schemeClr w14:val="tx1"/>
                  </w14:solidFill>
                </w14:textFill>
              </w:rPr>
              <w:t xml:space="preserve"> </w:t>
            </w:r>
            <w:r>
              <w:rPr>
                <w:color w:val="000000" w:themeColor="text1"/>
                <w:spacing w:val="-2"/>
                <w:sz w:val="18"/>
                <w:highlight w:val="none"/>
                <w14:textFill>
                  <w14:solidFill>
                    <w14:schemeClr w14:val="tx1"/>
                  </w14:solidFill>
                </w14:textFill>
              </w:rPr>
              <w:t>或面部线条状瘢痕</w:t>
            </w:r>
            <w:r>
              <w:rPr>
                <w:color w:val="000000" w:themeColor="text1"/>
                <w:spacing w:val="-9"/>
                <w:sz w:val="18"/>
                <w:highlight w:val="none"/>
                <w14:textFill>
                  <w14:solidFill>
                    <w14:schemeClr w14:val="tx1"/>
                  </w14:solidFill>
                </w14:textFill>
              </w:rPr>
              <w:t xml:space="preserve">大于等于 </w:t>
            </w:r>
            <w:r>
              <w:rPr>
                <w:rFonts w:ascii="Times New Roman" w:eastAsia="Times New Roman"/>
                <w:color w:val="000000" w:themeColor="text1"/>
                <w:sz w:val="18"/>
                <w:highlight w:val="none"/>
                <w14:textFill>
                  <w14:solidFill>
                    <w14:schemeClr w14:val="tx1"/>
                  </w14:solidFill>
                </w14:textFill>
              </w:rPr>
              <w:t>20cm</w:t>
            </w:r>
          </w:p>
        </w:tc>
        <w:tc>
          <w:tcPr>
            <w:tcW w:w="849" w:type="dxa"/>
            <w:vAlign w:val="top"/>
          </w:tcPr>
          <w:p>
            <w:pPr>
              <w:pStyle w:val="24"/>
              <w:spacing w:before="132"/>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9 </w:t>
            </w:r>
            <w:r>
              <w:rPr>
                <w:color w:val="000000" w:themeColor="text1"/>
                <w:sz w:val="18"/>
                <w:highlight w:val="none"/>
                <w14:textFill>
                  <w14:solidFill>
                    <w14:schemeClr w14:val="tx1"/>
                  </w14:solidFill>
                </w14:textFill>
              </w:rPr>
              <w:t>级</w:t>
            </w:r>
          </w:p>
        </w:tc>
        <w:tc>
          <w:tcPr>
            <w:tcW w:w="2660" w:type="dxa"/>
            <w:vAlign w:val="top"/>
          </w:tcPr>
          <w:p>
            <w:pPr>
              <w:pStyle w:val="24"/>
              <w:spacing w:before="0" w:line="240" w:lineRule="exact"/>
              <w:ind w:left="108" w:right="931"/>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s8100B.848;b820.0X/ s8100B.858;b820.0X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063" w:type="dxa"/>
            <w:vAlign w:val="top"/>
          </w:tcPr>
          <w:p>
            <w:pPr>
              <w:pStyle w:val="24"/>
              <w:spacing w:before="0" w:line="240" w:lineRule="atLeast"/>
              <w:ind w:right="30"/>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面部皮肤损伤导致瘢痕形成，且瘢痕面积大于等于 </w:t>
            </w:r>
            <w:r>
              <w:rPr>
                <w:rFonts w:ascii="Times New Roman" w:eastAsia="Times New Roman"/>
                <w:color w:val="000000" w:themeColor="text1"/>
                <w:sz w:val="18"/>
                <w:highlight w:val="none"/>
                <w14:textFill>
                  <w14:solidFill>
                    <w14:schemeClr w14:val="tx1"/>
                  </w14:solidFill>
                </w14:textFill>
              </w:rPr>
              <w:t>6cm</w:t>
            </w:r>
            <w:r>
              <w:rPr>
                <w:rFonts w:ascii="Times New Roman" w:eastAsia="Times New Roman"/>
                <w:color w:val="000000" w:themeColor="text1"/>
                <w:sz w:val="18"/>
                <w:highlight w:val="none"/>
                <w:vertAlign w:val="superscript"/>
                <w14:textFill>
                  <w14:solidFill>
                    <w14:schemeClr w14:val="tx1"/>
                  </w14:solidFill>
                </w14:textFill>
              </w:rPr>
              <w:t>2</w:t>
            </w:r>
            <w:r>
              <w:rPr>
                <w:rFonts w:ascii="Times New Roman" w:eastAsia="Times New Roman"/>
                <w:color w:val="000000" w:themeColor="text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 xml:space="preserve">或面部线条状瘢痕大于等于 </w:t>
            </w:r>
            <w:r>
              <w:rPr>
                <w:rFonts w:ascii="Times New Roman" w:eastAsia="Times New Roman"/>
                <w:color w:val="000000" w:themeColor="text1"/>
                <w:sz w:val="18"/>
                <w:highlight w:val="none"/>
                <w14:textFill>
                  <w14:solidFill>
                    <w14:schemeClr w14:val="tx1"/>
                  </w14:solidFill>
                </w14:textFill>
              </w:rPr>
              <w:t>10cm</w:t>
            </w:r>
          </w:p>
        </w:tc>
        <w:tc>
          <w:tcPr>
            <w:tcW w:w="849" w:type="dxa"/>
            <w:vAlign w:val="top"/>
          </w:tcPr>
          <w:p>
            <w:pPr>
              <w:pStyle w:val="24"/>
              <w:spacing w:before="129"/>
              <w:ind w:left="202" w:right="192"/>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10 </w:t>
            </w:r>
            <w:r>
              <w:rPr>
                <w:color w:val="000000" w:themeColor="text1"/>
                <w:sz w:val="18"/>
                <w:highlight w:val="none"/>
                <w14:textFill>
                  <w14:solidFill>
                    <w14:schemeClr w14:val="tx1"/>
                  </w14:solidFill>
                </w14:textFill>
              </w:rPr>
              <w:t>级</w:t>
            </w:r>
          </w:p>
        </w:tc>
        <w:tc>
          <w:tcPr>
            <w:tcW w:w="2660" w:type="dxa"/>
            <w:vAlign w:val="top"/>
          </w:tcPr>
          <w:p>
            <w:pPr>
              <w:pStyle w:val="24"/>
              <w:spacing w:before="21"/>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s8100B.848;b820.0Z/</w:t>
            </w:r>
          </w:p>
          <w:p>
            <w:pPr>
              <w:pStyle w:val="24"/>
              <w:spacing w:before="33" w:line="196" w:lineRule="exact"/>
              <w:ind w:left="108"/>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s8100B.858;b820.0Z</w:t>
            </w:r>
          </w:p>
        </w:tc>
      </w:tr>
    </w:tbl>
    <w:p>
      <w:pPr>
        <w:spacing w:before="38"/>
        <w:ind w:left="49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表注：① 瘢痕：指创面愈合后的增生性瘢痕，不包括皮肤平整、无明显质地改变的萎缩性瘢痕或疤痕。下同。</w:t>
      </w:r>
    </w:p>
    <w:p>
      <w:pPr>
        <w:spacing w:before="81" w:line="324" w:lineRule="auto"/>
        <w:ind w:left="498" w:right="369" w:firstLine="5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② 面部的范围和瘢痕面积的计算：面部的范围指上至发际、下至下颌下缘、两侧至下颌支后缘之间的区域，包括额部、眼部、眶部、鼻部、口唇部、颏部、颧部、颊部和腮腺咬肌部。面部瘢痕面积的计算采用全面部和 </w:t>
      </w:r>
      <w:r>
        <w:rPr>
          <w:rFonts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等分面部以及实测瘢痕面积的方法，分别计算瘢痕面积。面部多处瘢痕，其面积可以累加计算。</w:t>
      </w:r>
    </w:p>
    <w:p>
      <w:pPr>
        <w:spacing w:before="3"/>
        <w:ind w:left="106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③ 颈前三角区：两边为胸锁乳突肌前缘，底为舌骨体上缘及下颌骨下缘。</w:t>
      </w:r>
    </w:p>
    <w:p>
      <w:pPr>
        <w:pStyle w:val="8"/>
        <w:spacing w:before="4"/>
        <w:rPr>
          <w:color w:val="000000" w:themeColor="text1"/>
          <w:sz w:val="17"/>
          <w:highlight w:val="none"/>
          <w14:textFill>
            <w14:solidFill>
              <w14:schemeClr w14:val="tx1"/>
            </w14:solidFill>
          </w14:textFill>
        </w:rPr>
      </w:pPr>
    </w:p>
    <w:p>
      <w:pPr>
        <w:pStyle w:val="20"/>
        <w:numPr>
          <w:ilvl w:val="2"/>
          <w:numId w:val="14"/>
        </w:numPr>
        <w:tabs>
          <w:tab w:val="left" w:pos="1128"/>
        </w:tabs>
        <w:autoSpaceDE w:val="0"/>
        <w:autoSpaceDN w:val="0"/>
        <w:spacing w:after="0"/>
        <w:ind w:left="1127" w:hanging="631"/>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各部位皮肤结构损伤和修复功能障碍</w:t>
      </w:r>
    </w:p>
    <w:p>
      <w:pPr>
        <w:pStyle w:val="8"/>
        <w:spacing w:before="7"/>
        <w:rPr>
          <w:rFonts w:ascii="黑体"/>
          <w:color w:val="000000" w:themeColor="text1"/>
          <w:sz w:val="15"/>
          <w:highlight w:val="none"/>
          <w14:textFill>
            <w14:solidFill>
              <w14:schemeClr w14:val="tx1"/>
            </w14:solidFill>
          </w14:textFill>
        </w:rPr>
      </w:pPr>
    </w:p>
    <w:p>
      <w:pPr>
        <w:pStyle w:val="8"/>
        <w:spacing w:after="20"/>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表34</w:t>
      </w:r>
    </w:p>
    <w:tbl>
      <w:tblPr>
        <w:tblStyle w:val="14"/>
        <w:tblW w:w="9575"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851"/>
        <w:gridCol w:w="2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347" w:type="dxa"/>
            <w:vAlign w:val="top"/>
          </w:tcPr>
          <w:p>
            <w:pPr>
              <w:pStyle w:val="24"/>
              <w:spacing w:before="119"/>
              <w:ind w:left="2792" w:right="2783"/>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1" w:type="dxa"/>
            <w:vAlign w:val="top"/>
          </w:tcPr>
          <w:p>
            <w:pPr>
              <w:pStyle w:val="24"/>
              <w:spacing w:before="119"/>
              <w:ind w:left="224" w:right="21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377" w:type="dxa"/>
            <w:vAlign w:val="top"/>
          </w:tcPr>
          <w:p>
            <w:pPr>
              <w:pStyle w:val="24"/>
              <w:spacing w:before="119"/>
              <w:ind w:left="0" w:right="818"/>
              <w:jc w:val="righ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347" w:type="dxa"/>
            <w:vAlign w:val="top"/>
          </w:tcPr>
          <w:p>
            <w:pPr>
              <w:pStyle w:val="24"/>
              <w:spacing w:before="13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躯干及四肢 III 度烧伤，面积大于等于全身皮肤面积的 60%</w:t>
            </w:r>
          </w:p>
        </w:tc>
        <w:tc>
          <w:tcPr>
            <w:tcW w:w="851" w:type="dxa"/>
            <w:vAlign w:val="top"/>
          </w:tcPr>
          <w:p>
            <w:pPr>
              <w:pStyle w:val="24"/>
              <w:spacing w:before="131"/>
              <w:ind w:left="224" w:right="21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1 级</w:t>
            </w:r>
          </w:p>
        </w:tc>
        <w:tc>
          <w:tcPr>
            <w:tcW w:w="2377" w:type="dxa"/>
            <w:vAlign w:val="top"/>
          </w:tcPr>
          <w:p>
            <w:pPr>
              <w:pStyle w:val="24"/>
              <w:spacing w:before="2" w:line="240" w:lineRule="atLeast"/>
              <w:ind w:left="106" w:right="35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s8105.370, s8102.370, s8104.370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347"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皮肤损伤导致瘢痕形成，且瘢痕面积大于等于全身体表面积的 90%</w:t>
            </w:r>
          </w:p>
        </w:tc>
        <w:tc>
          <w:tcPr>
            <w:tcW w:w="851" w:type="dxa"/>
            <w:vAlign w:val="top"/>
          </w:tcPr>
          <w:p>
            <w:pPr>
              <w:pStyle w:val="24"/>
              <w:spacing w:line="208" w:lineRule="exact"/>
              <w:ind w:left="224" w:right="21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1 级</w:t>
            </w:r>
          </w:p>
        </w:tc>
        <w:tc>
          <w:tcPr>
            <w:tcW w:w="2377" w:type="dxa"/>
            <w:vAlign w:val="top"/>
          </w:tcPr>
          <w:p>
            <w:pPr>
              <w:pStyle w:val="24"/>
              <w:spacing w:line="208" w:lineRule="exact"/>
              <w:ind w:left="0" w:right="818"/>
              <w:jc w:val="righ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s810.840;b820.3T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347"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皮肤损伤导致瘢痕形成，且瘢痕面积大于等于全身体表面积的 80%</w:t>
            </w:r>
          </w:p>
        </w:tc>
        <w:tc>
          <w:tcPr>
            <w:tcW w:w="851" w:type="dxa"/>
            <w:vAlign w:val="top"/>
          </w:tcPr>
          <w:p>
            <w:pPr>
              <w:pStyle w:val="24"/>
              <w:spacing w:before="12" w:line="208" w:lineRule="exact"/>
              <w:ind w:left="224" w:right="21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2 级</w:t>
            </w:r>
          </w:p>
        </w:tc>
        <w:tc>
          <w:tcPr>
            <w:tcW w:w="2377" w:type="dxa"/>
            <w:vAlign w:val="top"/>
          </w:tcPr>
          <w:p>
            <w:pPr>
              <w:pStyle w:val="24"/>
              <w:spacing w:before="12" w:line="208" w:lineRule="exact"/>
              <w:ind w:left="0" w:right="818"/>
              <w:jc w:val="righ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s810.840;b820.3U</w:t>
            </w:r>
          </w:p>
        </w:tc>
      </w:tr>
    </w:tbl>
    <w:p>
      <w:pPr>
        <w:spacing w:line="208" w:lineRule="exact"/>
        <w:jc w:val="right"/>
        <w:rPr>
          <w:color w:val="000000" w:themeColor="text1"/>
          <w:sz w:val="18"/>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4"/>
        <w:rPr>
          <w:rFonts w:ascii="黑体"/>
          <w:color w:val="000000" w:themeColor="text1"/>
          <w:sz w:val="18"/>
          <w:highlight w:val="none"/>
          <w14:textFill>
            <w14:solidFill>
              <w14:schemeClr w14:val="tx1"/>
            </w14:solidFill>
          </w14:textFill>
        </w:rPr>
      </w:pPr>
    </w:p>
    <w:p>
      <w:pPr>
        <w:pStyle w:val="8"/>
        <w:spacing w:line="20" w:lineRule="exact"/>
        <w:ind w:left="99"/>
        <w:rPr>
          <w:rFonts w:ascii="黑体"/>
          <w:color w:val="000000" w:themeColor="text1"/>
          <w:sz w:val="2"/>
          <w:highlight w:val="none"/>
          <w14:textFill>
            <w14:solidFill>
              <w14:schemeClr w14:val="tx1"/>
            </w14:solidFill>
          </w14:textFill>
        </w:rPr>
      </w:pPr>
      <w:r>
        <w:rPr>
          <w:rFonts w:ascii="黑体"/>
          <w:color w:val="000000" w:themeColor="text1"/>
          <w:sz w:val="2"/>
          <w:highlight w:val="none"/>
          <w:lang w:val="en-US" w:bidi="ar-SA"/>
          <w14:textFill>
            <w14:solidFill>
              <w14:schemeClr w14:val="tx1"/>
            </w14:solidFill>
          </w14:textFill>
        </w:rPr>
        <mc:AlternateContent>
          <mc:Choice Requires="wpg">
            <w:drawing>
              <wp:inline distT="0" distB="0" distL="114300" distR="114300">
                <wp:extent cx="6079490" cy="6350"/>
                <wp:effectExtent l="0" t="0" r="0" b="0"/>
                <wp:docPr id="79" name="组合 79"/>
                <wp:cNvGraphicFramePr/>
                <a:graphic xmlns:a="http://schemas.openxmlformats.org/drawingml/2006/main">
                  <a:graphicData uri="http://schemas.microsoft.com/office/word/2010/wordprocessingGroup">
                    <wpg:wgp>
                      <wpg:cNvGrpSpPr>
                        <a:grpSpLocks noRot="1"/>
                      </wpg:cNvGrpSpPr>
                      <wpg:grpSpPr>
                        <a:xfrm>
                          <a:off x="0" y="0"/>
                          <a:ext cx="6079490" cy="6350"/>
                          <a:chOff x="0" y="0"/>
                          <a:chExt cx="9574" cy="0"/>
                        </a:xfrm>
                      </wpg:grpSpPr>
                      <wps:wsp>
                        <wps:cNvPr id="78" name="直接连接符 78"/>
                        <wps:cNvCnPr/>
                        <wps:spPr>
                          <a:xfrm>
                            <a:off x="0" y="0"/>
                            <a:ext cx="9574"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78.7pt;" coordsize="9574,0" o:gfxdata="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4Syx1AAAAAMBAAAPAAAAAAAAAAEAIAAAACIAAABkcnMvZG93bnJldi54bWxQSwECFAAUAAAACACH&#10;TuJAeakZYWECAAAzBQAADgAAAAAAAAABACAAAAAjAQAAZHJzL2Uyb0RvYy54bWxQSwUGAAAAAAYA&#10;BgBZAQAA9gUAAAAA&#10;">
                <o:lock v:ext="edit" rotation="t" aspectratio="f"/>
                <v:line id="_x0000_s1026" o:spid="_x0000_s1026" o:spt="20" style="position:absolute;left:0;top:0;height:0;width:9574;" filled="f" stroked="t" coordsize="21600,21600" o:gfxdata="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FksbgAAADbAAAA&#10;DwAAAAAAAAABACAAAAAiAAAAZHJzL2Rvd25yZXYueG1sUEsBAhQAFAAAAAgAh07iQDMvBZ47AAAA&#10;OQAAABAAAAAAAAAAAQAgAAAABwEAAGRycy9zaGFwZXhtbC54bWxQSwUGAAAAAAYABgBbAQAAsQMA&#10;AAAA&#10;">
                  <v:fill on="f" focussize="0,0"/>
                  <v:stroke weight="0.48pt" color="#000000" joinstyle="round"/>
                  <v:imagedata o:title=""/>
                  <o:lock v:ext="edit" aspectratio="f"/>
                </v:line>
                <w10:wrap type="none"/>
                <w10:anchorlock/>
              </v:group>
            </w:pict>
          </mc:Fallback>
        </mc:AlternateContent>
      </w:r>
    </w:p>
    <w:p>
      <w:pPr>
        <w:pStyle w:val="8"/>
        <w:spacing w:before="12" w:after="21"/>
        <w:ind w:left="4574"/>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续表34</w:t>
      </w:r>
    </w:p>
    <w:tbl>
      <w:tblPr>
        <w:tblStyle w:val="14"/>
        <w:tblW w:w="9574"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850"/>
        <w:gridCol w:w="2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347" w:type="dxa"/>
            <w:vAlign w:val="top"/>
          </w:tcPr>
          <w:p>
            <w:pPr>
              <w:pStyle w:val="24"/>
              <w:spacing w:before="12" w:line="208" w:lineRule="exact"/>
              <w:ind w:left="2793" w:right="2783"/>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伤残条目</w:t>
            </w:r>
          </w:p>
        </w:tc>
        <w:tc>
          <w:tcPr>
            <w:tcW w:w="850" w:type="dxa"/>
            <w:vAlign w:val="top"/>
          </w:tcPr>
          <w:p>
            <w:pPr>
              <w:pStyle w:val="24"/>
              <w:spacing w:before="12" w:line="208" w:lineRule="exact"/>
              <w:ind w:left="24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等级</w:t>
            </w:r>
          </w:p>
        </w:tc>
        <w:tc>
          <w:tcPr>
            <w:tcW w:w="2377" w:type="dxa"/>
            <w:vAlign w:val="top"/>
          </w:tcPr>
          <w:p>
            <w:pPr>
              <w:pStyle w:val="24"/>
              <w:spacing w:before="12" w:line="208" w:lineRule="exact"/>
              <w:ind w:left="808" w:right="79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伤残代码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347"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躯干及四肢 III 度烧伤，面积大于等于全身皮肤面积的 40%</w:t>
            </w:r>
          </w:p>
        </w:tc>
        <w:tc>
          <w:tcPr>
            <w:tcW w:w="850" w:type="dxa"/>
            <w:vAlign w:val="top"/>
          </w:tcPr>
          <w:p>
            <w:pPr>
              <w:pStyle w:val="24"/>
              <w:spacing w:before="132"/>
              <w:ind w:left="26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3 级</w:t>
            </w:r>
          </w:p>
        </w:tc>
        <w:tc>
          <w:tcPr>
            <w:tcW w:w="2377" w:type="dxa"/>
            <w:vAlign w:val="top"/>
          </w:tcPr>
          <w:p>
            <w:pPr>
              <w:pStyle w:val="24"/>
              <w:spacing w:before="2" w:line="240" w:lineRule="atLeast"/>
              <w:ind w:right="35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s8105.270, s8102.270, s8104.270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347"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皮肤损伤导致瘢痕形成，且瘢痕面积大于等于全身体表面积的 70%</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3 级</w:t>
            </w:r>
          </w:p>
        </w:tc>
        <w:tc>
          <w:tcPr>
            <w:tcW w:w="2377"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s810.840;b820.3W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347"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皮肤损伤导致瘢痕形成，且瘢痕面积大于等于全身体表面积的 60%</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4 级</w:t>
            </w:r>
          </w:p>
        </w:tc>
        <w:tc>
          <w:tcPr>
            <w:tcW w:w="2377"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s810.840;b820.3Y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347" w:type="dxa"/>
            <w:vAlign w:val="top"/>
          </w:tcPr>
          <w:p>
            <w:pPr>
              <w:pStyle w:val="24"/>
              <w:spacing w:before="13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躯干及四肢 III 度烧伤，面积大于等于全身皮肤面积的 20%</w:t>
            </w:r>
          </w:p>
        </w:tc>
        <w:tc>
          <w:tcPr>
            <w:tcW w:w="850" w:type="dxa"/>
            <w:vAlign w:val="top"/>
          </w:tcPr>
          <w:p>
            <w:pPr>
              <w:pStyle w:val="24"/>
              <w:spacing w:before="132"/>
              <w:ind w:left="26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5 级</w:t>
            </w:r>
          </w:p>
        </w:tc>
        <w:tc>
          <w:tcPr>
            <w:tcW w:w="2377" w:type="dxa"/>
            <w:vAlign w:val="top"/>
          </w:tcPr>
          <w:p>
            <w:pPr>
              <w:pStyle w:val="24"/>
              <w:spacing w:before="2" w:line="240" w:lineRule="atLeast"/>
              <w:ind w:right="8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s8105.170Z, s8102.170Z， s8104.170Z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347" w:type="dxa"/>
            <w:vAlign w:val="top"/>
          </w:tcPr>
          <w:p>
            <w:pPr>
              <w:pStyle w:val="24"/>
              <w:spacing w:before="9"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皮肤损伤导致瘢痕形成，且瘢痕面积大于等于全身体表面积的 50%</w:t>
            </w:r>
          </w:p>
        </w:tc>
        <w:tc>
          <w:tcPr>
            <w:tcW w:w="850" w:type="dxa"/>
            <w:vAlign w:val="top"/>
          </w:tcPr>
          <w:p>
            <w:pPr>
              <w:pStyle w:val="24"/>
              <w:spacing w:before="9" w:line="208" w:lineRule="exact"/>
              <w:ind w:left="26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5 级</w:t>
            </w:r>
          </w:p>
        </w:tc>
        <w:tc>
          <w:tcPr>
            <w:tcW w:w="2377" w:type="dxa"/>
            <w:vAlign w:val="top"/>
          </w:tcPr>
          <w:p>
            <w:pPr>
              <w:pStyle w:val="24"/>
              <w:spacing w:before="9"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s810.840;b820.3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347"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皮肤损伤导致瘢痕形成，且瘢痕面积大于等于全身体表面积的 40%</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6 级</w:t>
            </w:r>
          </w:p>
        </w:tc>
        <w:tc>
          <w:tcPr>
            <w:tcW w:w="2377"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s810.848;b820.2X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347"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腹部损伤导致腹壁缺损面积大于等于腹壁面积的 25%</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6 级</w:t>
            </w:r>
          </w:p>
        </w:tc>
        <w:tc>
          <w:tcPr>
            <w:tcW w:w="2377"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s8105.228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347" w:type="dxa"/>
            <w:vAlign w:val="top"/>
          </w:tcPr>
          <w:p>
            <w:pPr>
              <w:pStyle w:val="24"/>
              <w:spacing w:before="13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躯干及四肢 III 度烧伤，面积大于等于全身皮肤面积的 10%</w:t>
            </w:r>
          </w:p>
        </w:tc>
        <w:tc>
          <w:tcPr>
            <w:tcW w:w="850" w:type="dxa"/>
            <w:vAlign w:val="top"/>
          </w:tcPr>
          <w:p>
            <w:pPr>
              <w:pStyle w:val="24"/>
              <w:spacing w:before="134"/>
              <w:ind w:left="26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7 级</w:t>
            </w:r>
          </w:p>
        </w:tc>
        <w:tc>
          <w:tcPr>
            <w:tcW w:w="2377" w:type="dxa"/>
            <w:vAlign w:val="top"/>
          </w:tcPr>
          <w:p>
            <w:pPr>
              <w:pStyle w:val="24"/>
              <w:spacing w:before="5" w:line="240" w:lineRule="atLeast"/>
              <w:ind w:right="35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s8105.170, s8102.170, s8104.170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6347" w:type="dxa"/>
            <w:vAlign w:val="top"/>
          </w:tcPr>
          <w:p>
            <w:pPr>
              <w:pStyle w:val="24"/>
              <w:spacing w:before="9"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皮肤损伤导致瘢痕形成，且瘢痕面积大于等于全身体表面积的 30%</w:t>
            </w:r>
          </w:p>
        </w:tc>
        <w:tc>
          <w:tcPr>
            <w:tcW w:w="850" w:type="dxa"/>
            <w:vAlign w:val="top"/>
          </w:tcPr>
          <w:p>
            <w:pPr>
              <w:pStyle w:val="24"/>
              <w:spacing w:before="9" w:line="208" w:lineRule="exact"/>
              <w:ind w:left="26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7 级</w:t>
            </w:r>
          </w:p>
        </w:tc>
        <w:tc>
          <w:tcPr>
            <w:tcW w:w="2377" w:type="dxa"/>
            <w:vAlign w:val="top"/>
          </w:tcPr>
          <w:p>
            <w:pPr>
              <w:pStyle w:val="24"/>
              <w:spacing w:before="9"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s810.848;b820.2Z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347"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皮肤损伤导致瘢痕形成，且瘢痕面积大于等于全身体表面积的 20%</w:t>
            </w:r>
          </w:p>
        </w:tc>
        <w:tc>
          <w:tcPr>
            <w:tcW w:w="850" w:type="dxa"/>
            <w:vAlign w:val="top"/>
          </w:tcPr>
          <w:p>
            <w:pPr>
              <w:pStyle w:val="24"/>
              <w:spacing w:line="208" w:lineRule="exact"/>
              <w:ind w:left="26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8 级</w:t>
            </w:r>
          </w:p>
        </w:tc>
        <w:tc>
          <w:tcPr>
            <w:tcW w:w="2377" w:type="dxa"/>
            <w:vAlign w:val="top"/>
          </w:tcPr>
          <w:p>
            <w:pPr>
              <w:pStyle w:val="24"/>
              <w:spacing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s810.848;b820.1Y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347"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皮肤损伤导致瘢痕形成，且瘢痕面积大于等于全身体表面积的 5%</w:t>
            </w:r>
          </w:p>
        </w:tc>
        <w:tc>
          <w:tcPr>
            <w:tcW w:w="850" w:type="dxa"/>
            <w:vAlign w:val="top"/>
          </w:tcPr>
          <w:p>
            <w:pPr>
              <w:pStyle w:val="24"/>
              <w:spacing w:before="12" w:line="208" w:lineRule="exact"/>
              <w:ind w:left="26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9 级</w:t>
            </w:r>
          </w:p>
        </w:tc>
        <w:tc>
          <w:tcPr>
            <w:tcW w:w="2377" w:type="dxa"/>
            <w:vAlign w:val="top"/>
          </w:tcPr>
          <w:p>
            <w:pPr>
              <w:pStyle w:val="24"/>
              <w:spacing w:before="12" w:line="208" w:lineRule="exact"/>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s810.848;b820.1</w:t>
            </w:r>
          </w:p>
        </w:tc>
      </w:tr>
    </w:tbl>
    <w:p>
      <w:pPr>
        <w:spacing w:before="38" w:line="324" w:lineRule="auto"/>
        <w:ind w:left="215" w:right="748"/>
        <w:rPr>
          <w:color w:val="000000" w:themeColor="text1"/>
          <w:sz w:val="18"/>
          <w:highlight w:val="none"/>
          <w14:textFill>
            <w14:solidFill>
              <w14:schemeClr w14:val="tx1"/>
            </w14:solidFill>
          </w14:textFill>
        </w:rPr>
      </w:pPr>
      <w:r>
        <w:rPr>
          <w:color w:val="000000" w:themeColor="text1"/>
          <w:spacing w:val="-1"/>
          <w:sz w:val="18"/>
          <w:highlight w:val="none"/>
          <w14:textFill>
            <w14:solidFill>
              <w14:schemeClr w14:val="tx1"/>
            </w14:solidFill>
          </w14:textFill>
        </w:rPr>
        <w:t xml:space="preserve">表注：①全身皮肤瘢痕面积的计算：按皮肤瘢痕面积占全身体表面积的百分数来计算，即中国新九分法：在 </w:t>
      </w:r>
      <w:r>
        <w:rPr>
          <w:color w:val="000000" w:themeColor="text1"/>
          <w:sz w:val="18"/>
          <w:highlight w:val="none"/>
          <w14:textFill>
            <w14:solidFill>
              <w14:schemeClr w14:val="tx1"/>
            </w14:solidFill>
          </w14:textFill>
        </w:rPr>
        <w:t>100%的体</w:t>
      </w:r>
      <w:r>
        <w:rPr>
          <w:color w:val="000000" w:themeColor="text1"/>
          <w:spacing w:val="-4"/>
          <w:sz w:val="18"/>
          <w:highlight w:val="none"/>
          <w14:textFill>
            <w14:solidFill>
              <w14:schemeClr w14:val="tx1"/>
            </w14:solidFill>
          </w14:textFill>
        </w:rPr>
        <w:t xml:space="preserve">表总面积中：头颈部占 </w:t>
      </w:r>
      <w:r>
        <w:rPr>
          <w:color w:val="000000" w:themeColor="text1"/>
          <w:sz w:val="18"/>
          <w:highlight w:val="none"/>
          <w14:textFill>
            <w14:solidFill>
              <w14:schemeClr w14:val="tx1"/>
            </w14:solidFill>
          </w14:textFill>
        </w:rPr>
        <w:t>9%（9×1）（</w:t>
      </w:r>
      <w:r>
        <w:rPr>
          <w:color w:val="000000" w:themeColor="text1"/>
          <w:spacing w:val="-5"/>
          <w:sz w:val="18"/>
          <w:highlight w:val="none"/>
          <w14:textFill>
            <w14:solidFill>
              <w14:schemeClr w14:val="tx1"/>
            </w14:solidFill>
          </w14:textFill>
        </w:rPr>
        <w:t xml:space="preserve">头部、面部、颈部各占 </w:t>
      </w:r>
      <w:r>
        <w:rPr>
          <w:color w:val="000000" w:themeColor="text1"/>
          <w:sz w:val="18"/>
          <w:highlight w:val="none"/>
          <w14:textFill>
            <w14:solidFill>
              <w14:schemeClr w14:val="tx1"/>
            </w14:solidFill>
          </w14:textFill>
        </w:rPr>
        <w:t>3%）；</w:t>
      </w:r>
      <w:r>
        <w:rPr>
          <w:color w:val="000000" w:themeColor="text1"/>
          <w:spacing w:val="-10"/>
          <w:sz w:val="18"/>
          <w:highlight w:val="none"/>
          <w14:textFill>
            <w14:solidFill>
              <w14:schemeClr w14:val="tx1"/>
            </w14:solidFill>
          </w14:textFill>
        </w:rPr>
        <w:t xml:space="preserve">双上肢占 </w:t>
      </w:r>
      <w:r>
        <w:rPr>
          <w:color w:val="000000" w:themeColor="text1"/>
          <w:sz w:val="18"/>
          <w:highlight w:val="none"/>
          <w14:textFill>
            <w14:solidFill>
              <w14:schemeClr w14:val="tx1"/>
            </w14:solidFill>
          </w14:textFill>
        </w:rPr>
        <w:t>18%（9×2）（</w:t>
      </w:r>
      <w:r>
        <w:rPr>
          <w:color w:val="000000" w:themeColor="text1"/>
          <w:spacing w:val="-11"/>
          <w:sz w:val="18"/>
          <w:highlight w:val="none"/>
          <w14:textFill>
            <w14:solidFill>
              <w14:schemeClr w14:val="tx1"/>
            </w14:solidFill>
          </w14:textFill>
        </w:rPr>
        <w:t xml:space="preserve">双上臂 </w:t>
      </w:r>
      <w:r>
        <w:rPr>
          <w:color w:val="000000" w:themeColor="text1"/>
          <w:sz w:val="18"/>
          <w:highlight w:val="none"/>
          <w14:textFill>
            <w14:solidFill>
              <w14:schemeClr w14:val="tx1"/>
            </w14:solidFill>
          </w14:textFill>
        </w:rPr>
        <w:t>7%</w:t>
      </w:r>
      <w:r>
        <w:rPr>
          <w:color w:val="000000" w:themeColor="text1"/>
          <w:spacing w:val="-10"/>
          <w:sz w:val="18"/>
          <w:highlight w:val="none"/>
          <w14:textFill>
            <w14:solidFill>
              <w14:schemeClr w14:val="tx1"/>
            </w14:solidFill>
          </w14:textFill>
        </w:rPr>
        <w:t xml:space="preserve">，双前臂 </w:t>
      </w:r>
      <w:r>
        <w:rPr>
          <w:color w:val="000000" w:themeColor="text1"/>
          <w:sz w:val="18"/>
          <w:highlight w:val="none"/>
          <w14:textFill>
            <w14:solidFill>
              <w14:schemeClr w14:val="tx1"/>
            </w14:solidFill>
          </w14:textFill>
        </w:rPr>
        <w:t>6%，双</w:t>
      </w:r>
      <w:r>
        <w:rPr>
          <w:color w:val="000000" w:themeColor="text1"/>
          <w:spacing w:val="-22"/>
          <w:sz w:val="18"/>
          <w:highlight w:val="none"/>
          <w14:textFill>
            <w14:solidFill>
              <w14:schemeClr w14:val="tx1"/>
            </w14:solidFill>
          </w14:textFill>
        </w:rPr>
        <w:t xml:space="preserve">手 </w:t>
      </w:r>
      <w:r>
        <w:rPr>
          <w:color w:val="000000" w:themeColor="text1"/>
          <w:sz w:val="18"/>
          <w:highlight w:val="none"/>
          <w14:textFill>
            <w14:solidFill>
              <w14:schemeClr w14:val="tx1"/>
            </w14:solidFill>
          </w14:textFill>
        </w:rPr>
        <w:t>5%）；</w:t>
      </w:r>
      <w:r>
        <w:rPr>
          <w:color w:val="000000" w:themeColor="text1"/>
          <w:spacing w:val="-5"/>
          <w:sz w:val="18"/>
          <w:highlight w:val="none"/>
          <w14:textFill>
            <w14:solidFill>
              <w14:schemeClr w14:val="tx1"/>
            </w14:solidFill>
          </w14:textFill>
        </w:rPr>
        <w:t xml:space="preserve">躯干前后包括会阴占 </w:t>
      </w:r>
      <w:r>
        <w:rPr>
          <w:color w:val="000000" w:themeColor="text1"/>
          <w:sz w:val="18"/>
          <w:highlight w:val="none"/>
          <w14:textFill>
            <w14:solidFill>
              <w14:schemeClr w14:val="tx1"/>
            </w14:solidFill>
          </w14:textFill>
        </w:rPr>
        <w:t>27%（9×3）（</w:t>
      </w:r>
      <w:r>
        <w:rPr>
          <w:color w:val="000000" w:themeColor="text1"/>
          <w:spacing w:val="-16"/>
          <w:sz w:val="18"/>
          <w:highlight w:val="none"/>
          <w14:textFill>
            <w14:solidFill>
              <w14:schemeClr w14:val="tx1"/>
            </w14:solidFill>
          </w14:textFill>
        </w:rPr>
        <w:t xml:space="preserve">前躯 </w:t>
      </w:r>
      <w:r>
        <w:rPr>
          <w:color w:val="000000" w:themeColor="text1"/>
          <w:sz w:val="18"/>
          <w:highlight w:val="none"/>
          <w14:textFill>
            <w14:solidFill>
              <w14:schemeClr w14:val="tx1"/>
            </w14:solidFill>
          </w14:textFill>
        </w:rPr>
        <w:t>13%</w:t>
      </w:r>
      <w:r>
        <w:rPr>
          <w:color w:val="000000" w:themeColor="text1"/>
          <w:spacing w:val="-12"/>
          <w:sz w:val="18"/>
          <w:highlight w:val="none"/>
          <w14:textFill>
            <w14:solidFill>
              <w14:schemeClr w14:val="tx1"/>
            </w14:solidFill>
          </w14:textFill>
        </w:rPr>
        <w:t xml:space="preserve">，后躯 </w:t>
      </w:r>
      <w:r>
        <w:rPr>
          <w:color w:val="000000" w:themeColor="text1"/>
          <w:sz w:val="18"/>
          <w:highlight w:val="none"/>
          <w14:textFill>
            <w14:solidFill>
              <w14:schemeClr w14:val="tx1"/>
            </w14:solidFill>
          </w14:textFill>
        </w:rPr>
        <w:t>13%</w:t>
      </w:r>
      <w:r>
        <w:rPr>
          <w:color w:val="000000" w:themeColor="text1"/>
          <w:spacing w:val="-13"/>
          <w:sz w:val="18"/>
          <w:highlight w:val="none"/>
          <w14:textFill>
            <w14:solidFill>
              <w14:schemeClr w14:val="tx1"/>
            </w14:solidFill>
          </w14:textFill>
        </w:rPr>
        <w:t xml:space="preserve">，会阴 </w:t>
      </w:r>
      <w:r>
        <w:rPr>
          <w:color w:val="000000" w:themeColor="text1"/>
          <w:sz w:val="18"/>
          <w:highlight w:val="none"/>
          <w14:textFill>
            <w14:solidFill>
              <w14:schemeClr w14:val="tx1"/>
            </w14:solidFill>
          </w14:textFill>
        </w:rPr>
        <w:t>1%）；双下肢（</w:t>
      </w:r>
      <w:r>
        <w:rPr>
          <w:color w:val="000000" w:themeColor="text1"/>
          <w:spacing w:val="-2"/>
          <w:sz w:val="18"/>
          <w:highlight w:val="none"/>
          <w14:textFill>
            <w14:solidFill>
              <w14:schemeClr w14:val="tx1"/>
            </w14:solidFill>
          </w14:textFill>
        </w:rPr>
        <w:t>含臀部</w:t>
      </w:r>
      <w:r>
        <w:rPr>
          <w:color w:val="000000" w:themeColor="text1"/>
          <w:sz w:val="18"/>
          <w:highlight w:val="none"/>
          <w14:textFill>
            <w14:solidFill>
              <w14:schemeClr w14:val="tx1"/>
            </w14:solidFill>
          </w14:textFill>
        </w:rPr>
        <w:t>）</w:t>
      </w:r>
      <w:r>
        <w:rPr>
          <w:color w:val="000000" w:themeColor="text1"/>
          <w:spacing w:val="-22"/>
          <w:sz w:val="18"/>
          <w:highlight w:val="none"/>
          <w14:textFill>
            <w14:solidFill>
              <w14:schemeClr w14:val="tx1"/>
            </w14:solidFill>
          </w14:textFill>
        </w:rPr>
        <w:t xml:space="preserve">占 </w:t>
      </w:r>
      <w:r>
        <w:rPr>
          <w:color w:val="000000" w:themeColor="text1"/>
          <w:sz w:val="18"/>
          <w:highlight w:val="none"/>
          <w14:textFill>
            <w14:solidFill>
              <w14:schemeClr w14:val="tx1"/>
            </w14:solidFill>
          </w14:textFill>
        </w:rPr>
        <w:t>46%（</w:t>
      </w:r>
      <w:r>
        <w:rPr>
          <w:color w:val="000000" w:themeColor="text1"/>
          <w:spacing w:val="-15"/>
          <w:sz w:val="18"/>
          <w:highlight w:val="none"/>
          <w14:textFill>
            <w14:solidFill>
              <w14:schemeClr w14:val="tx1"/>
            </w14:solidFill>
          </w14:textFill>
        </w:rPr>
        <w:t xml:space="preserve">双臀 </w:t>
      </w:r>
      <w:r>
        <w:rPr>
          <w:color w:val="000000" w:themeColor="text1"/>
          <w:sz w:val="18"/>
          <w:highlight w:val="none"/>
          <w14:textFill>
            <w14:solidFill>
              <w14:schemeClr w14:val="tx1"/>
            </w14:solidFill>
          </w14:textFill>
        </w:rPr>
        <w:t>5%，双</w:t>
      </w:r>
      <w:r>
        <w:rPr>
          <w:color w:val="000000" w:themeColor="text1"/>
          <w:spacing w:val="-15"/>
          <w:sz w:val="18"/>
          <w:highlight w:val="none"/>
          <w14:textFill>
            <w14:solidFill>
              <w14:schemeClr w14:val="tx1"/>
            </w14:solidFill>
          </w14:textFill>
        </w:rPr>
        <w:t xml:space="preserve">大腿 </w:t>
      </w:r>
      <w:r>
        <w:rPr>
          <w:color w:val="000000" w:themeColor="text1"/>
          <w:sz w:val="18"/>
          <w:highlight w:val="none"/>
          <w14:textFill>
            <w14:solidFill>
              <w14:schemeClr w14:val="tx1"/>
            </w14:solidFill>
          </w14:textFill>
        </w:rPr>
        <w:t>21</w:t>
      </w:r>
      <w:r>
        <w:rPr>
          <w:color w:val="000000" w:themeColor="text1"/>
          <w:spacing w:val="-8"/>
          <w:sz w:val="18"/>
          <w:highlight w:val="none"/>
          <w14:textFill>
            <w14:solidFill>
              <w14:schemeClr w14:val="tx1"/>
            </w14:solidFill>
          </w14:textFill>
        </w:rPr>
        <w:t xml:space="preserve">%，双小腿 </w:t>
      </w:r>
      <w:r>
        <w:rPr>
          <w:color w:val="000000" w:themeColor="text1"/>
          <w:sz w:val="18"/>
          <w:highlight w:val="none"/>
          <w14:textFill>
            <w14:solidFill>
              <w14:schemeClr w14:val="tx1"/>
            </w14:solidFill>
          </w14:textFill>
        </w:rPr>
        <w:t>13%</w:t>
      </w:r>
      <w:r>
        <w:rPr>
          <w:color w:val="000000" w:themeColor="text1"/>
          <w:spacing w:val="-13"/>
          <w:sz w:val="18"/>
          <w:highlight w:val="none"/>
          <w14:textFill>
            <w14:solidFill>
              <w14:schemeClr w14:val="tx1"/>
            </w14:solidFill>
          </w14:textFill>
        </w:rPr>
        <w:t xml:space="preserve">，双足 </w:t>
      </w:r>
      <w:r>
        <w:rPr>
          <w:color w:val="000000" w:themeColor="text1"/>
          <w:sz w:val="18"/>
          <w:highlight w:val="none"/>
          <w14:textFill>
            <w14:solidFill>
              <w14:schemeClr w14:val="tx1"/>
            </w14:solidFill>
          </w14:textFill>
        </w:rPr>
        <w:t>7%）（9×5+1）（</w:t>
      </w:r>
      <w:r>
        <w:rPr>
          <w:color w:val="000000" w:themeColor="text1"/>
          <w:spacing w:val="-6"/>
          <w:sz w:val="18"/>
          <w:highlight w:val="none"/>
          <w14:textFill>
            <w14:solidFill>
              <w14:schemeClr w14:val="tx1"/>
            </w14:solidFill>
          </w14:textFill>
        </w:rPr>
        <w:t xml:space="preserve">女性双足和臀各占 </w:t>
      </w:r>
      <w:r>
        <w:rPr>
          <w:color w:val="000000" w:themeColor="text1"/>
          <w:sz w:val="18"/>
          <w:highlight w:val="none"/>
          <w14:textFill>
            <w14:solidFill>
              <w14:schemeClr w14:val="tx1"/>
            </w14:solidFill>
          </w14:textFill>
        </w:rPr>
        <w:t>6%）。</w:t>
      </w:r>
    </w:p>
    <w:p>
      <w:pPr>
        <w:spacing w:before="3" w:line="324" w:lineRule="auto"/>
        <w:ind w:left="215" w:right="712" w:firstLine="5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② 烧伤面积和烧伤深度：烧伤面积的计算按中国新九分法，烧伤深度按三度四分法。III</w:t>
      </w:r>
      <w:r>
        <w:rPr>
          <w:color w:val="000000" w:themeColor="text1"/>
          <w:spacing w:val="-7"/>
          <w:sz w:val="18"/>
          <w:highlight w:val="none"/>
          <w14:textFill>
            <w14:solidFill>
              <w14:schemeClr w14:val="tx1"/>
            </w14:solidFill>
          </w14:textFill>
        </w:rPr>
        <w:t xml:space="preserve"> 度烧伤指烧伤深达皮肤全层甚至达到皮下、肌肉和骨骼。烧伤事故不包括冻伤、吸入性损伤</w:t>
      </w:r>
      <w:r>
        <w:rPr>
          <w:color w:val="000000" w:themeColor="text1"/>
          <w:sz w:val="18"/>
          <w:highlight w:val="none"/>
          <w14:textFill>
            <w14:solidFill>
              <w14:schemeClr w14:val="tx1"/>
            </w14:solidFill>
          </w14:textFill>
        </w:rPr>
        <w:t>（又称呼吸道烧伤</w:t>
      </w:r>
      <w:r>
        <w:rPr>
          <w:color w:val="000000" w:themeColor="text1"/>
          <w:spacing w:val="-3"/>
          <w:sz w:val="18"/>
          <w:highlight w:val="none"/>
          <w14:textFill>
            <w14:solidFill>
              <w14:schemeClr w14:val="tx1"/>
            </w14:solidFill>
          </w14:textFill>
        </w:rPr>
        <w:t>）</w:t>
      </w:r>
      <w:r>
        <w:rPr>
          <w:color w:val="000000" w:themeColor="text1"/>
          <w:spacing w:val="-2"/>
          <w:sz w:val="18"/>
          <w:highlight w:val="none"/>
          <w14:textFill>
            <w14:solidFill>
              <w14:schemeClr w14:val="tx1"/>
            </w14:solidFill>
          </w14:textFill>
        </w:rPr>
        <w:t>和电击伤。烧伤后按烧伤面</w:t>
      </w:r>
      <w:r>
        <w:rPr>
          <w:color w:val="000000" w:themeColor="text1"/>
          <w:sz w:val="18"/>
          <w:highlight w:val="none"/>
          <w14:textFill>
            <w14:solidFill>
              <w14:schemeClr w14:val="tx1"/>
            </w14:solidFill>
          </w14:textFill>
        </w:rPr>
        <w:t>积、深度评定伤残等级，待医疗终结后，可以依据造成的功能障碍程度、皮肤瘢痕面积大小评定伤残等级，最终的伤 残等级以严重者为准。</w:t>
      </w:r>
    </w:p>
    <w:p>
      <w:pPr>
        <w:spacing w:line="324" w:lineRule="auto"/>
        <w:rPr>
          <w:color w:val="000000" w:themeColor="text1"/>
          <w:sz w:val="18"/>
          <w:highlight w:val="none"/>
          <w14:textFill>
            <w14:solidFill>
              <w14:schemeClr w14:val="tx1"/>
            </w14:solidFill>
          </w14:textFill>
        </w:rPr>
        <w:sectPr>
          <w:headerReference r:id="rId18" w:type="default"/>
          <w:headerReference r:id="rId19" w:type="even"/>
          <w:pgSz w:w="11910" w:h="16840"/>
          <w:pgMar w:top="1660" w:right="700" w:bottom="1340" w:left="920" w:header="1441" w:footer="1140" w:gutter="0"/>
          <w:cols w:space="720" w:num="1"/>
        </w:sectPr>
      </w:pPr>
    </w:p>
    <w:p>
      <w:pPr>
        <w:pStyle w:val="8"/>
        <w:spacing w:before="7"/>
        <w:rPr>
          <w:color w:val="000000" w:themeColor="text1"/>
          <w:sz w:val="14"/>
          <w:highlight w:val="none"/>
          <w14:textFill>
            <w14:solidFill>
              <w14:schemeClr w14:val="tx1"/>
            </w14:solidFill>
          </w14:textFill>
        </w:rPr>
      </w:pPr>
    </w:p>
    <w:p>
      <w:pPr>
        <w:pStyle w:val="8"/>
        <w:tabs>
          <w:tab w:val="left" w:pos="488"/>
          <w:tab w:val="left" w:pos="908"/>
        </w:tabs>
        <w:spacing w:before="72"/>
        <w:ind w:left="65"/>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附</w:t>
      </w:r>
      <w:r>
        <w:rPr>
          <w:rFonts w:hint="eastAsia" w:ascii="黑体" w:eastAsia="黑体"/>
          <w:color w:val="000000" w:themeColor="text1"/>
          <w:highlight w:val="none"/>
          <w14:textFill>
            <w14:solidFill>
              <w14:schemeClr w14:val="tx1"/>
            </w14:solidFill>
          </w14:textFill>
        </w:rPr>
        <w:tab/>
      </w:r>
      <w:r>
        <w:rPr>
          <w:rFonts w:hint="eastAsia" w:ascii="黑体" w:eastAsia="黑体"/>
          <w:color w:val="000000" w:themeColor="text1"/>
          <w:highlight w:val="none"/>
          <w14:textFill>
            <w14:solidFill>
              <w14:schemeClr w14:val="tx1"/>
            </w14:solidFill>
          </w14:textFill>
        </w:rPr>
        <w:t>录</w:t>
      </w:r>
      <w:r>
        <w:rPr>
          <w:rFonts w:hint="eastAsia" w:ascii="黑体" w:eastAsia="黑体"/>
          <w:color w:val="000000" w:themeColor="text1"/>
          <w:highlight w:val="none"/>
          <w14:textFill>
            <w14:solidFill>
              <w14:schemeClr w14:val="tx1"/>
            </w14:solidFill>
          </w14:textFill>
        </w:rPr>
        <w:tab/>
      </w:r>
      <w:r>
        <w:rPr>
          <w:rFonts w:hint="eastAsia" w:ascii="黑体" w:eastAsia="黑体"/>
          <w:color w:val="000000" w:themeColor="text1"/>
          <w:highlight w:val="none"/>
          <w14:textFill>
            <w14:solidFill>
              <w14:schemeClr w14:val="tx1"/>
            </w14:solidFill>
          </w14:textFill>
        </w:rPr>
        <w:t>A</w:t>
      </w:r>
    </w:p>
    <w:p>
      <w:pPr>
        <w:pStyle w:val="8"/>
        <w:spacing w:before="43"/>
        <w:ind w:left="2019" w:right="1855"/>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（规范性附录）</w:t>
      </w:r>
    </w:p>
    <w:p>
      <w:pPr>
        <w:pStyle w:val="8"/>
        <w:spacing w:before="43"/>
        <w:ind w:left="2338" w:right="1855"/>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人身保险伤残评定标准编码规则</w:t>
      </w:r>
    </w:p>
    <w:p>
      <w:pPr>
        <w:pStyle w:val="8"/>
        <w:spacing w:before="3"/>
        <w:rPr>
          <w:rFonts w:ascii="黑体"/>
          <w:color w:val="000000" w:themeColor="text1"/>
          <w:sz w:val="22"/>
          <w:highlight w:val="none"/>
          <w14:textFill>
            <w14:solidFill>
              <w14:schemeClr w14:val="tx1"/>
            </w14:solidFill>
          </w14:textFill>
        </w:rPr>
      </w:pPr>
    </w:p>
    <w:p>
      <w:pPr>
        <w:pStyle w:val="20"/>
        <w:numPr>
          <w:ilvl w:val="1"/>
          <w:numId w:val="11"/>
        </w:numPr>
        <w:tabs>
          <w:tab w:val="left" w:pos="1127"/>
          <w:tab w:val="left" w:pos="1128"/>
        </w:tabs>
        <w:autoSpaceDE w:val="0"/>
        <w:autoSpaceDN w:val="0"/>
        <w:spacing w:before="72" w:after="0"/>
        <w:ind w:left="1127" w:hanging="631"/>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概述</w:t>
      </w:r>
    </w:p>
    <w:p>
      <w:pPr>
        <w:pStyle w:val="8"/>
        <w:spacing w:before="6"/>
        <w:rPr>
          <w:rFonts w:ascii="黑体"/>
          <w:color w:val="000000" w:themeColor="text1"/>
          <w:sz w:val="27"/>
          <w:highlight w:val="none"/>
          <w14:textFill>
            <w14:solidFill>
              <w14:schemeClr w14:val="tx1"/>
            </w14:solidFill>
          </w14:textFill>
        </w:rPr>
      </w:pPr>
    </w:p>
    <w:p>
      <w:pPr>
        <w:pStyle w:val="8"/>
        <w:spacing w:before="1" w:line="278" w:lineRule="auto"/>
        <w:ind w:left="496" w:right="426" w:firstLine="420"/>
        <w:jc w:val="both"/>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人身保险伤残评定标准采用世界卫生组织《国际功能、残疾和健康分类》</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以下简称“</w:t>
      </w:r>
      <w:r>
        <w:rPr>
          <w:rFonts w:ascii="Times New Roman" w:hAnsi="Times New Roman" w:eastAsia="Times New Roman"/>
          <w:color w:val="000000" w:themeColor="text1"/>
          <w:highlight w:val="none"/>
          <w14:textFill>
            <w14:solidFill>
              <w14:schemeClr w14:val="tx1"/>
            </w14:solidFill>
          </w14:textFill>
        </w:rPr>
        <w:t>ICF”</w:t>
      </w:r>
      <w:r>
        <w:rPr>
          <w:color w:val="000000" w:themeColor="text1"/>
          <w:highlight w:val="none"/>
          <w14:textFill>
            <w14:solidFill>
              <w14:schemeClr w14:val="tx1"/>
            </w14:solidFill>
          </w14:textFill>
        </w:rPr>
        <w:t>）的有</w:t>
      </w:r>
      <w:r>
        <w:rPr>
          <w:color w:val="000000" w:themeColor="text1"/>
          <w:spacing w:val="-2"/>
          <w:highlight w:val="none"/>
          <w14:textFill>
            <w14:solidFill>
              <w14:schemeClr w14:val="tx1"/>
            </w14:solidFill>
          </w14:textFill>
        </w:rPr>
        <w:t>关功能和残疾的分类理论与方法，建立编码原则，对</w:t>
      </w:r>
      <w:r>
        <w:rPr>
          <w:rFonts w:ascii="Times New Roman" w:hAnsi="Times New Roman" w:eastAsia="Times New Roman"/>
          <w:color w:val="000000" w:themeColor="text1"/>
          <w:highlight w:val="none"/>
          <w14:textFill>
            <w14:solidFill>
              <w14:schemeClr w14:val="tx1"/>
            </w14:solidFill>
          </w14:textFill>
        </w:rPr>
        <w:t>“</w:t>
      </w:r>
      <w:r>
        <w:rPr>
          <w:color w:val="000000" w:themeColor="text1"/>
          <w:spacing w:val="-1"/>
          <w:highlight w:val="none"/>
          <w14:textFill>
            <w14:solidFill>
              <w14:schemeClr w14:val="tx1"/>
            </w14:solidFill>
          </w14:textFill>
        </w:rPr>
        <w:t>神经系统的结构和精神功能</w:t>
      </w:r>
      <w:r>
        <w:rPr>
          <w:rFonts w:ascii="Times New Roman" w:hAns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眼，耳和有关的</w:t>
      </w:r>
      <w:r>
        <w:rPr>
          <w:color w:val="000000" w:themeColor="text1"/>
          <w:spacing w:val="-2"/>
          <w:highlight w:val="none"/>
          <w14:textFill>
            <w14:solidFill>
              <w14:schemeClr w14:val="tx1"/>
            </w14:solidFill>
          </w14:textFill>
        </w:rPr>
        <w:t>结构和功能</w:t>
      </w:r>
      <w:r>
        <w:rPr>
          <w:rFonts w:ascii="Times New Roman" w:hAnsi="Times New Roman" w:eastAsia="Times New Roman"/>
          <w:color w:val="000000" w:themeColor="text1"/>
          <w:highlight w:val="none"/>
          <w14:textFill>
            <w14:solidFill>
              <w14:schemeClr w14:val="tx1"/>
            </w14:solidFill>
          </w14:textFill>
        </w:rPr>
        <w:t>”</w:t>
      </w:r>
      <w:r>
        <w:rPr>
          <w:color w:val="000000" w:themeColor="text1"/>
          <w:spacing w:val="-5"/>
          <w:highlight w:val="none"/>
          <w14:textFill>
            <w14:solidFill>
              <w14:schemeClr w14:val="tx1"/>
            </w14:solidFill>
          </w14:textFill>
        </w:rPr>
        <w:t>、</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发声和言语的结构和功能</w:t>
      </w:r>
      <w:r>
        <w:rPr>
          <w:rFonts w:ascii="Times New Roman" w:hAnsi="Times New Roman" w:eastAsia="Times New Roman"/>
          <w:color w:val="000000" w:themeColor="text1"/>
          <w:highlight w:val="none"/>
          <w14:textFill>
            <w14:solidFill>
              <w14:schemeClr w14:val="tx1"/>
            </w14:solidFill>
          </w14:textFill>
        </w:rPr>
        <w:t>”</w:t>
      </w:r>
      <w:r>
        <w:rPr>
          <w:color w:val="000000" w:themeColor="text1"/>
          <w:spacing w:val="-5"/>
          <w:highlight w:val="none"/>
          <w14:textFill>
            <w14:solidFill>
              <w14:schemeClr w14:val="tx1"/>
            </w14:solidFill>
          </w14:textFill>
        </w:rPr>
        <w:t>、</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心血管，免疫和呼吸系统的结构和功能</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spacing w:val="-5"/>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w:t>
      </w:r>
      <w:r>
        <w:rPr>
          <w:color w:val="000000" w:themeColor="text1"/>
          <w:spacing w:val="-4"/>
          <w:highlight w:val="none"/>
          <w14:textFill>
            <w14:solidFill>
              <w14:schemeClr w14:val="tx1"/>
            </w14:solidFill>
          </w14:textFill>
        </w:rPr>
        <w:t>消化、代谢和</w:t>
      </w:r>
      <w:r>
        <w:rPr>
          <w:color w:val="000000" w:themeColor="text1"/>
          <w:spacing w:val="-3"/>
          <w:highlight w:val="none"/>
          <w14:textFill>
            <w14:solidFill>
              <w14:schemeClr w14:val="tx1"/>
            </w14:solidFill>
          </w14:textFill>
        </w:rPr>
        <w:t>内分泌系统有关的结构和功能</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spacing w:val="-29"/>
          <w:highlight w:val="none"/>
          <w14:textFill>
            <w14:solidFill>
              <w14:schemeClr w14:val="tx1"/>
            </w14:solidFill>
          </w14:textFill>
        </w:rPr>
        <w:t>、</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泌尿和生殖系统有关的结构和功能</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 神经肌肉骨骼和运动有关的结构和功能</w:t>
      </w:r>
      <w:r>
        <w:rPr>
          <w:rFonts w:ascii="Times New Roman" w:hAnsi="Times New Roman" w:eastAsia="Times New Roman"/>
          <w:color w:val="000000" w:themeColor="text1"/>
          <w:spacing w:val="-3"/>
          <w:highlight w:val="none"/>
          <w14:textFill>
            <w14:solidFill>
              <w14:schemeClr w14:val="tx1"/>
            </w14:solidFill>
          </w14:textFill>
        </w:rPr>
        <w:t>”</w:t>
      </w:r>
      <w:r>
        <w:rPr>
          <w:color w:val="000000" w:themeColor="text1"/>
          <w:highlight w:val="none"/>
          <w14:textFill>
            <w14:solidFill>
              <w14:schemeClr w14:val="tx1"/>
            </w14:solidFill>
          </w14:textFill>
        </w:rPr>
        <w:t>和</w:t>
      </w:r>
      <w:r>
        <w:rPr>
          <w:rFonts w:ascii="Times New Roman" w:hAnsi="Times New Roman" w:eastAsia="Times New Roman"/>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皮肤和有关的结构和功能</w:t>
      </w:r>
      <w:r>
        <w:rPr>
          <w:rFonts w:ascii="Times New Roman" w:hAnsi="Times New Roman" w:eastAsia="Times New Roman"/>
          <w:color w:val="000000" w:themeColor="text1"/>
          <w:highlight w:val="none"/>
          <w14:textFill>
            <w14:solidFill>
              <w14:schemeClr w14:val="tx1"/>
            </w14:solidFill>
          </w14:textFill>
        </w:rPr>
        <w:t xml:space="preserve">”8 </w:t>
      </w:r>
      <w:r>
        <w:rPr>
          <w:color w:val="000000" w:themeColor="text1"/>
          <w:spacing w:val="-19"/>
          <w:highlight w:val="none"/>
          <w14:textFill>
            <w14:solidFill>
              <w14:schemeClr w14:val="tx1"/>
            </w14:solidFill>
          </w14:textFill>
        </w:rPr>
        <w:t xml:space="preserve">大类 </w:t>
      </w:r>
      <w:r>
        <w:rPr>
          <w:rFonts w:ascii="Times New Roman" w:hAnsi="Times New Roman" w:eastAsia="Times New Roman"/>
          <w:color w:val="000000" w:themeColor="text1"/>
          <w:highlight w:val="none"/>
          <w14:textFill>
            <w14:solidFill>
              <w14:schemeClr w14:val="tx1"/>
            </w14:solidFill>
          </w14:textFill>
        </w:rPr>
        <w:t xml:space="preserve">281 </w:t>
      </w:r>
      <w:r>
        <w:rPr>
          <w:color w:val="000000" w:themeColor="text1"/>
          <w:spacing w:val="-3"/>
          <w:highlight w:val="none"/>
          <w14:textFill>
            <w14:solidFill>
              <w14:schemeClr w14:val="tx1"/>
            </w14:solidFill>
          </w14:textFill>
        </w:rPr>
        <w:t>项人身保险伤残条目进行编码。</w:t>
      </w:r>
    </w:p>
    <w:p>
      <w:pPr>
        <w:pStyle w:val="8"/>
        <w:spacing w:before="6"/>
        <w:rPr>
          <w:color w:val="000000" w:themeColor="text1"/>
          <w:sz w:val="24"/>
          <w:highlight w:val="none"/>
          <w14:textFill>
            <w14:solidFill>
              <w14:schemeClr w14:val="tx1"/>
            </w14:solidFill>
          </w14:textFill>
        </w:rPr>
      </w:pPr>
    </w:p>
    <w:p>
      <w:pPr>
        <w:pStyle w:val="20"/>
        <w:numPr>
          <w:ilvl w:val="1"/>
          <w:numId w:val="11"/>
        </w:numPr>
        <w:tabs>
          <w:tab w:val="left" w:pos="1127"/>
          <w:tab w:val="left" w:pos="1128"/>
        </w:tabs>
        <w:autoSpaceDE w:val="0"/>
        <w:autoSpaceDN w:val="0"/>
        <w:spacing w:before="1" w:after="0"/>
        <w:ind w:left="1127" w:hanging="631"/>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字母和数字的含义</w:t>
      </w:r>
    </w:p>
    <w:p>
      <w:pPr>
        <w:pStyle w:val="8"/>
        <w:spacing w:before="6"/>
        <w:rPr>
          <w:rFonts w:ascii="黑体"/>
          <w:color w:val="000000" w:themeColor="text1"/>
          <w:sz w:val="27"/>
          <w:highlight w:val="none"/>
          <w14:textFill>
            <w14:solidFill>
              <w14:schemeClr w14:val="tx1"/>
            </w14:solidFill>
          </w14:textFill>
        </w:rPr>
      </w:pPr>
    </w:p>
    <w:p>
      <w:pPr>
        <w:pStyle w:val="8"/>
        <w:spacing w:line="278" w:lineRule="auto"/>
        <w:ind w:left="496" w:right="426" w:firstLine="42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人身保险伤残评定标准主要包括两个成份：身体功能和身体结构，在每种成份的编码前均指定一个</w:t>
      </w:r>
      <w:r>
        <w:rPr>
          <w:color w:val="000000" w:themeColor="text1"/>
          <w:spacing w:val="-6"/>
          <w:highlight w:val="none"/>
          <w14:textFill>
            <w14:solidFill>
              <w14:schemeClr w14:val="tx1"/>
            </w14:solidFill>
          </w14:textFill>
        </w:rPr>
        <w:t>首字母。</w:t>
      </w:r>
    </w:p>
    <w:p>
      <w:pPr>
        <w:pStyle w:val="20"/>
        <w:numPr>
          <w:ilvl w:val="2"/>
          <w:numId w:val="11"/>
        </w:numPr>
        <w:tabs>
          <w:tab w:val="left" w:pos="1336"/>
          <w:tab w:val="left" w:pos="1337"/>
        </w:tabs>
        <w:autoSpaceDE w:val="0"/>
        <w:autoSpaceDN w:val="0"/>
        <w:spacing w:after="0" w:line="269" w:lineRule="exact"/>
        <w:ind w:left="1336" w:hanging="420"/>
        <w:jc w:val="left"/>
        <w:rPr>
          <w:rFonts w:ascii="宋体" w:hAnsi="宋体"/>
          <w:color w:val="000000" w:themeColor="text1"/>
          <w:highlight w:val="none"/>
          <w14:textFill>
            <w14:solidFill>
              <w14:schemeClr w14:val="tx1"/>
            </w14:solidFill>
          </w14:textFill>
        </w:rPr>
      </w:pPr>
      <w:r>
        <w:rPr>
          <w:rFonts w:eastAsia="Times New Roman"/>
          <w:color w:val="000000" w:themeColor="text1"/>
          <w:highlight w:val="none"/>
          <w14:textFill>
            <w14:solidFill>
              <w14:schemeClr w14:val="tx1"/>
            </w14:solidFill>
          </w14:textFill>
        </w:rPr>
        <w:t>b</w:t>
      </w:r>
      <w:r>
        <w:rPr>
          <w:rFonts w:eastAsia="Times New Roman"/>
          <w:color w:val="000000" w:themeColor="text1"/>
          <w:spacing w:val="3"/>
          <w:highlight w:val="none"/>
          <w14:textFill>
            <w14:solidFill>
              <w14:schemeClr w14:val="tx1"/>
            </w14:solidFill>
          </w14:textFill>
        </w:rPr>
        <w:t xml:space="preserve">  </w:t>
      </w:r>
      <w:r>
        <w:rPr>
          <w:rFonts w:hint="eastAsia" w:ascii="宋体" w:hAnsi="宋体"/>
          <w:color w:val="000000" w:themeColor="text1"/>
          <w:spacing w:val="-3"/>
          <w:highlight w:val="none"/>
          <w14:textFill>
            <w14:solidFill>
              <w14:schemeClr w14:val="tx1"/>
            </w14:solidFill>
          </w14:textFill>
        </w:rPr>
        <w:t>用于身体功能</w:t>
      </w:r>
    </w:p>
    <w:p>
      <w:pPr>
        <w:pStyle w:val="20"/>
        <w:numPr>
          <w:ilvl w:val="2"/>
          <w:numId w:val="11"/>
        </w:numPr>
        <w:tabs>
          <w:tab w:val="left" w:pos="1336"/>
          <w:tab w:val="left" w:pos="1337"/>
        </w:tabs>
        <w:autoSpaceDE w:val="0"/>
        <w:autoSpaceDN w:val="0"/>
        <w:spacing w:before="43" w:after="0"/>
        <w:ind w:left="1336" w:hanging="420"/>
        <w:jc w:val="left"/>
        <w:rPr>
          <w:rFonts w:ascii="宋体" w:hAnsi="宋体"/>
          <w:color w:val="000000" w:themeColor="text1"/>
          <w:highlight w:val="none"/>
          <w14:textFill>
            <w14:solidFill>
              <w14:schemeClr w14:val="tx1"/>
            </w14:solidFill>
          </w14:textFill>
        </w:rPr>
      </w:pPr>
      <w:r>
        <w:rPr>
          <w:rFonts w:eastAsia="Times New Roman"/>
          <w:color w:val="000000" w:themeColor="text1"/>
          <w:highlight w:val="none"/>
          <w14:textFill>
            <w14:solidFill>
              <w14:schemeClr w14:val="tx1"/>
            </w14:solidFill>
          </w14:textFill>
        </w:rPr>
        <w:t>s</w:t>
      </w:r>
      <w:r>
        <w:rPr>
          <w:rFonts w:eastAsia="Times New Roman"/>
          <w:color w:val="000000" w:themeColor="text1"/>
          <w:spacing w:val="3"/>
          <w:highlight w:val="none"/>
          <w14:textFill>
            <w14:solidFill>
              <w14:schemeClr w14:val="tx1"/>
            </w14:solidFill>
          </w14:textFill>
        </w:rPr>
        <w:t xml:space="preserve">  </w:t>
      </w:r>
      <w:r>
        <w:rPr>
          <w:rFonts w:hint="eastAsia" w:ascii="宋体" w:hAnsi="宋体"/>
          <w:color w:val="000000" w:themeColor="text1"/>
          <w:spacing w:val="-3"/>
          <w:highlight w:val="none"/>
          <w14:textFill>
            <w14:solidFill>
              <w14:schemeClr w14:val="tx1"/>
            </w14:solidFill>
          </w14:textFill>
        </w:rPr>
        <w:t>用于身体结构</w:t>
      </w:r>
    </w:p>
    <w:p>
      <w:pPr>
        <w:pStyle w:val="8"/>
        <w:spacing w:before="43"/>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紧跟字母 </w:t>
      </w:r>
      <w:r>
        <w:rPr>
          <w:rFonts w:ascii="Times New Roman" w:eastAsia="Times New Roman"/>
          <w:color w:val="000000" w:themeColor="text1"/>
          <w:highlight w:val="none"/>
          <w14:textFill>
            <w14:solidFill>
              <w14:schemeClr w14:val="tx1"/>
            </w14:solidFill>
          </w14:textFill>
        </w:rPr>
        <w:t xml:space="preserve">b </w:t>
      </w:r>
      <w:r>
        <w:rPr>
          <w:color w:val="000000" w:themeColor="text1"/>
          <w:highlight w:val="none"/>
          <w14:textFill>
            <w14:solidFill>
              <w14:schemeClr w14:val="tx1"/>
            </w14:solidFill>
          </w14:textFill>
        </w:rPr>
        <w:t xml:space="preserve">和 </w:t>
      </w:r>
      <w:r>
        <w:rPr>
          <w:rFonts w:ascii="Times New Roman" w:eastAsia="Times New Roman"/>
          <w:color w:val="000000" w:themeColor="text1"/>
          <w:highlight w:val="none"/>
          <w14:textFill>
            <w14:solidFill>
              <w14:schemeClr w14:val="tx1"/>
            </w14:solidFill>
          </w14:textFill>
        </w:rPr>
        <w:t xml:space="preserve">s </w:t>
      </w:r>
      <w:r>
        <w:rPr>
          <w:color w:val="000000" w:themeColor="text1"/>
          <w:highlight w:val="none"/>
          <w14:textFill>
            <w14:solidFill>
              <w14:schemeClr w14:val="tx1"/>
            </w14:solidFill>
          </w14:textFill>
        </w:rPr>
        <w:t>是编码数字，开始是章数</w:t>
      </w:r>
      <w:r>
        <w:rPr>
          <w:rFonts w:hint="eastAsia" w:ascii="Times New Roman"/>
          <w:color w:val="000000" w:themeColor="text1"/>
          <w:highlight w:val="none"/>
          <w:lang w:eastAsia="zh-CN"/>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位数字</w:t>
      </w:r>
      <w:r>
        <w:rPr>
          <w:rFonts w:hint="eastAsia" w:ascii="Times New Roman"/>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，接着是二级水平</w:t>
      </w:r>
      <w:r>
        <w:rPr>
          <w:rFonts w:hint="eastAsia" w:ascii="Times New Roman"/>
          <w:color w:val="000000" w:themeColor="text1"/>
          <w:highlight w:val="none"/>
          <w:lang w:eastAsia="zh-CN"/>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位数字</w:t>
      </w:r>
      <w:r>
        <w:rPr>
          <w:rFonts w:hint="eastAsia" w:ascii="Times New Roman"/>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、第三和四级水平</w:t>
      </w:r>
    </w:p>
    <w:p>
      <w:pPr>
        <w:pStyle w:val="8"/>
        <w:spacing w:before="43"/>
        <w:ind w:left="496"/>
        <w:rPr>
          <w:color w:val="000000" w:themeColor="text1"/>
          <w:highlight w:val="none"/>
          <w14:textFill>
            <w14:solidFill>
              <w14:schemeClr w14:val="tx1"/>
            </w14:solidFill>
          </w14:textFill>
        </w:rPr>
      </w:pPr>
      <w:r>
        <w:rPr>
          <w:rFonts w:hint="eastAsia" w:ascii="Times New Roman"/>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 xml:space="preserve">各为 </w:t>
      </w: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位数字</w:t>
      </w:r>
      <w:r>
        <w:rPr>
          <w:rFonts w:hint="eastAsia" w:ascii="Times New Roman"/>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。如下例所示：</w:t>
      </w:r>
    </w:p>
    <w:p>
      <w:pPr>
        <w:pStyle w:val="8"/>
        <w:tabs>
          <w:tab w:val="left" w:pos="1967"/>
          <w:tab w:val="left" w:pos="4593"/>
        </w:tabs>
        <w:spacing w:before="103"/>
        <w:ind w:left="916"/>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s7</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与</w:t>
      </w:r>
      <w:r>
        <w:rPr>
          <w:color w:val="000000" w:themeColor="text1"/>
          <w:spacing w:val="-3"/>
          <w:highlight w:val="none"/>
          <w14:textFill>
            <w14:solidFill>
              <w14:schemeClr w14:val="tx1"/>
            </w14:solidFill>
          </w14:textFill>
        </w:rPr>
        <w:t>运</w:t>
      </w:r>
      <w:r>
        <w:rPr>
          <w:color w:val="000000" w:themeColor="text1"/>
          <w:highlight w:val="none"/>
          <w14:textFill>
            <w14:solidFill>
              <w14:schemeClr w14:val="tx1"/>
            </w14:solidFill>
          </w14:textFill>
        </w:rPr>
        <w:t>动</w:t>
      </w:r>
      <w:r>
        <w:rPr>
          <w:color w:val="000000" w:themeColor="text1"/>
          <w:spacing w:val="-3"/>
          <w:highlight w:val="none"/>
          <w14:textFill>
            <w14:solidFill>
              <w14:schemeClr w14:val="tx1"/>
            </w14:solidFill>
          </w14:textFill>
        </w:rPr>
        <w:t>相</w:t>
      </w:r>
      <w:r>
        <w:rPr>
          <w:color w:val="000000" w:themeColor="text1"/>
          <w:highlight w:val="none"/>
          <w14:textFill>
            <w14:solidFill>
              <w14:schemeClr w14:val="tx1"/>
            </w14:solidFill>
          </w14:textFill>
        </w:rPr>
        <w:t>关</w:t>
      </w:r>
      <w:r>
        <w:rPr>
          <w:color w:val="000000" w:themeColor="text1"/>
          <w:spacing w:val="-3"/>
          <w:highlight w:val="none"/>
          <w14:textFill>
            <w14:solidFill>
              <w14:schemeClr w14:val="tx1"/>
            </w14:solidFill>
          </w14:textFill>
        </w:rPr>
        <w:t>的</w:t>
      </w:r>
      <w:r>
        <w:rPr>
          <w:color w:val="000000" w:themeColor="text1"/>
          <w:highlight w:val="none"/>
          <w14:textFill>
            <w14:solidFill>
              <w14:schemeClr w14:val="tx1"/>
            </w14:solidFill>
          </w14:textFill>
        </w:rPr>
        <w:t>结构</w:t>
      </w:r>
      <w:r>
        <w:rPr>
          <w:color w:val="000000" w:themeColor="text1"/>
          <w:highlight w:val="none"/>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1</w:t>
      </w:r>
      <w:r>
        <w:rPr>
          <w:color w:val="000000" w:themeColor="text1"/>
          <w:spacing w:val="-48"/>
          <w:highlight w:val="none"/>
          <w14:textFill>
            <w14:solidFill>
              <w14:schemeClr w14:val="tx1"/>
            </w14:solidFill>
          </w14:textFill>
        </w:rPr>
        <w:t xml:space="preserve"> </w:t>
      </w:r>
      <w:r>
        <w:rPr>
          <w:color w:val="000000" w:themeColor="text1"/>
          <w:highlight w:val="none"/>
          <w14:textFill>
            <w14:solidFill>
              <w14:schemeClr w14:val="tx1"/>
            </w14:solidFill>
          </w14:textFill>
        </w:rPr>
        <w:t>级</w:t>
      </w:r>
      <w:r>
        <w:rPr>
          <w:color w:val="000000" w:themeColor="text1"/>
          <w:spacing w:val="-3"/>
          <w:highlight w:val="none"/>
          <w14:textFill>
            <w14:solidFill>
              <w14:schemeClr w14:val="tx1"/>
            </w14:solidFill>
          </w14:textFill>
        </w:rPr>
        <w:t>水</w:t>
      </w:r>
      <w:r>
        <w:rPr>
          <w:color w:val="000000" w:themeColor="text1"/>
          <w:highlight w:val="none"/>
          <w14:textFill>
            <w14:solidFill>
              <w14:schemeClr w14:val="tx1"/>
            </w14:solidFill>
          </w14:textFill>
        </w:rPr>
        <w:t>平</w:t>
      </w:r>
      <w:r>
        <w:rPr>
          <w:color w:val="000000" w:themeColor="text1"/>
          <w:spacing w:val="-3"/>
          <w:highlight w:val="none"/>
          <w14:textFill>
            <w14:solidFill>
              <w14:schemeClr w14:val="tx1"/>
            </w14:solidFill>
          </w14:textFill>
        </w:rPr>
        <w:t>类</w:t>
      </w:r>
      <w:r>
        <w:rPr>
          <w:color w:val="000000" w:themeColor="text1"/>
          <w:highlight w:val="none"/>
          <w14:textFill>
            <w14:solidFill>
              <w14:schemeClr w14:val="tx1"/>
            </w14:solidFill>
          </w14:textFill>
        </w:rPr>
        <w:t>目</w:t>
      </w:r>
      <w:r>
        <w:rPr>
          <w:rFonts w:hint="eastAsia"/>
          <w:color w:val="000000" w:themeColor="text1"/>
          <w:highlight w:val="none"/>
          <w:lang w:eastAsia="zh-CN"/>
          <w14:textFill>
            <w14:solidFill>
              <w14:schemeClr w14:val="tx1"/>
            </w14:solidFill>
          </w14:textFill>
        </w:rPr>
        <w:t>）</w:t>
      </w:r>
    </w:p>
    <w:p>
      <w:pPr>
        <w:pStyle w:val="8"/>
        <w:tabs>
          <w:tab w:val="left" w:pos="1967"/>
          <w:tab w:val="left" w:pos="4593"/>
        </w:tabs>
        <w:spacing w:before="103"/>
        <w:ind w:left="916"/>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s730</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上</w:t>
      </w:r>
      <w:r>
        <w:rPr>
          <w:color w:val="000000" w:themeColor="text1"/>
          <w:spacing w:val="-3"/>
          <w:highlight w:val="none"/>
          <w14:textFill>
            <w14:solidFill>
              <w14:schemeClr w14:val="tx1"/>
            </w14:solidFill>
          </w14:textFill>
        </w:rPr>
        <w:t>肢</w:t>
      </w:r>
      <w:r>
        <w:rPr>
          <w:color w:val="000000" w:themeColor="text1"/>
          <w:highlight w:val="none"/>
          <w14:textFill>
            <w14:solidFill>
              <w14:schemeClr w14:val="tx1"/>
            </w14:solidFill>
          </w14:textFill>
        </w:rPr>
        <w:t>的</w:t>
      </w:r>
      <w:r>
        <w:rPr>
          <w:color w:val="000000" w:themeColor="text1"/>
          <w:spacing w:val="-3"/>
          <w:highlight w:val="none"/>
          <w14:textFill>
            <w14:solidFill>
              <w14:schemeClr w14:val="tx1"/>
            </w14:solidFill>
          </w14:textFill>
        </w:rPr>
        <w:t>结</w:t>
      </w:r>
      <w:r>
        <w:rPr>
          <w:color w:val="000000" w:themeColor="text1"/>
          <w:highlight w:val="none"/>
          <w14:textFill>
            <w14:solidFill>
              <w14:schemeClr w14:val="tx1"/>
            </w14:solidFill>
          </w14:textFill>
        </w:rPr>
        <w:t>构</w:t>
      </w:r>
      <w:r>
        <w:rPr>
          <w:color w:val="000000" w:themeColor="text1"/>
          <w:highlight w:val="none"/>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2</w:t>
      </w:r>
      <w:r>
        <w:rPr>
          <w:color w:val="000000" w:themeColor="text1"/>
          <w:spacing w:val="-48"/>
          <w:highlight w:val="none"/>
          <w14:textFill>
            <w14:solidFill>
              <w14:schemeClr w14:val="tx1"/>
            </w14:solidFill>
          </w14:textFill>
        </w:rPr>
        <w:t xml:space="preserve"> </w:t>
      </w:r>
      <w:r>
        <w:rPr>
          <w:color w:val="000000" w:themeColor="text1"/>
          <w:highlight w:val="none"/>
          <w14:textFill>
            <w14:solidFill>
              <w14:schemeClr w14:val="tx1"/>
            </w14:solidFill>
          </w14:textFill>
        </w:rPr>
        <w:t>级</w:t>
      </w:r>
      <w:r>
        <w:rPr>
          <w:color w:val="000000" w:themeColor="text1"/>
          <w:spacing w:val="-3"/>
          <w:highlight w:val="none"/>
          <w14:textFill>
            <w14:solidFill>
              <w14:schemeClr w14:val="tx1"/>
            </w14:solidFill>
          </w14:textFill>
        </w:rPr>
        <w:t>水</w:t>
      </w:r>
      <w:r>
        <w:rPr>
          <w:color w:val="000000" w:themeColor="text1"/>
          <w:highlight w:val="none"/>
          <w14:textFill>
            <w14:solidFill>
              <w14:schemeClr w14:val="tx1"/>
            </w14:solidFill>
          </w14:textFill>
        </w:rPr>
        <w:t>平</w:t>
      </w:r>
      <w:r>
        <w:rPr>
          <w:color w:val="000000" w:themeColor="text1"/>
          <w:spacing w:val="-3"/>
          <w:highlight w:val="none"/>
          <w14:textFill>
            <w14:solidFill>
              <w14:schemeClr w14:val="tx1"/>
            </w14:solidFill>
          </w14:textFill>
        </w:rPr>
        <w:t>类</w:t>
      </w:r>
      <w:r>
        <w:rPr>
          <w:color w:val="000000" w:themeColor="text1"/>
          <w:highlight w:val="none"/>
          <w14:textFill>
            <w14:solidFill>
              <w14:schemeClr w14:val="tx1"/>
            </w14:solidFill>
          </w14:textFill>
        </w:rPr>
        <w:t>目</w:t>
      </w:r>
      <w:r>
        <w:rPr>
          <w:rFonts w:hint="eastAsia"/>
          <w:color w:val="000000" w:themeColor="text1"/>
          <w:highlight w:val="none"/>
          <w:lang w:eastAsia="zh-CN"/>
          <w14:textFill>
            <w14:solidFill>
              <w14:schemeClr w14:val="tx1"/>
            </w14:solidFill>
          </w14:textFill>
        </w:rPr>
        <w:t>）</w:t>
      </w:r>
    </w:p>
    <w:p>
      <w:pPr>
        <w:pStyle w:val="8"/>
        <w:tabs>
          <w:tab w:val="left" w:pos="1967"/>
          <w:tab w:val="left" w:pos="4593"/>
        </w:tabs>
        <w:spacing w:before="103"/>
        <w:ind w:left="916"/>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s7302</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手</w:t>
      </w:r>
      <w:r>
        <w:rPr>
          <w:color w:val="000000" w:themeColor="text1"/>
          <w:spacing w:val="-3"/>
          <w:highlight w:val="none"/>
          <w14:textFill>
            <w14:solidFill>
              <w14:schemeClr w14:val="tx1"/>
            </w14:solidFill>
          </w14:textFill>
        </w:rPr>
        <w:t>的</w:t>
      </w:r>
      <w:r>
        <w:rPr>
          <w:color w:val="000000" w:themeColor="text1"/>
          <w:highlight w:val="none"/>
          <w14:textFill>
            <w14:solidFill>
              <w14:schemeClr w14:val="tx1"/>
            </w14:solidFill>
          </w14:textFill>
        </w:rPr>
        <w:t>结构</w:t>
      </w:r>
      <w:r>
        <w:rPr>
          <w:color w:val="000000" w:themeColor="text1"/>
          <w:highlight w:val="none"/>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3</w:t>
      </w:r>
      <w:r>
        <w:rPr>
          <w:color w:val="000000" w:themeColor="text1"/>
          <w:spacing w:val="-48"/>
          <w:highlight w:val="none"/>
          <w14:textFill>
            <w14:solidFill>
              <w14:schemeClr w14:val="tx1"/>
            </w14:solidFill>
          </w14:textFill>
        </w:rPr>
        <w:t xml:space="preserve"> </w:t>
      </w:r>
      <w:r>
        <w:rPr>
          <w:color w:val="000000" w:themeColor="text1"/>
          <w:highlight w:val="none"/>
          <w14:textFill>
            <w14:solidFill>
              <w14:schemeClr w14:val="tx1"/>
            </w14:solidFill>
          </w14:textFill>
        </w:rPr>
        <w:t>级</w:t>
      </w:r>
      <w:r>
        <w:rPr>
          <w:color w:val="000000" w:themeColor="text1"/>
          <w:spacing w:val="-3"/>
          <w:highlight w:val="none"/>
          <w14:textFill>
            <w14:solidFill>
              <w14:schemeClr w14:val="tx1"/>
            </w14:solidFill>
          </w14:textFill>
        </w:rPr>
        <w:t>水</w:t>
      </w:r>
      <w:r>
        <w:rPr>
          <w:color w:val="000000" w:themeColor="text1"/>
          <w:highlight w:val="none"/>
          <w14:textFill>
            <w14:solidFill>
              <w14:schemeClr w14:val="tx1"/>
            </w14:solidFill>
          </w14:textFill>
        </w:rPr>
        <w:t>平类</w:t>
      </w:r>
      <w:r>
        <w:rPr>
          <w:color w:val="000000" w:themeColor="text1"/>
          <w:spacing w:val="-3"/>
          <w:highlight w:val="none"/>
          <w14:textFill>
            <w14:solidFill>
              <w14:schemeClr w14:val="tx1"/>
            </w14:solidFill>
          </w14:textFill>
        </w:rPr>
        <w:t>目</w:t>
      </w:r>
      <w:r>
        <w:rPr>
          <w:rFonts w:hint="eastAsia"/>
          <w:color w:val="000000" w:themeColor="text1"/>
          <w:highlight w:val="none"/>
          <w:lang w:eastAsia="zh-CN"/>
          <w14:textFill>
            <w14:solidFill>
              <w14:schemeClr w14:val="tx1"/>
            </w14:solidFill>
          </w14:textFill>
        </w:rPr>
        <w:t>）</w:t>
      </w:r>
    </w:p>
    <w:p>
      <w:pPr>
        <w:pStyle w:val="8"/>
        <w:tabs>
          <w:tab w:val="left" w:pos="1967"/>
          <w:tab w:val="left" w:pos="4593"/>
        </w:tabs>
        <w:spacing w:before="103"/>
        <w:ind w:left="916"/>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s73001</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上</w:t>
      </w:r>
      <w:r>
        <w:rPr>
          <w:color w:val="000000" w:themeColor="text1"/>
          <w:spacing w:val="-3"/>
          <w:highlight w:val="none"/>
          <w14:textFill>
            <w14:solidFill>
              <w14:schemeClr w14:val="tx1"/>
            </w14:solidFill>
          </w14:textFill>
        </w:rPr>
        <w:t>臂</w:t>
      </w:r>
      <w:r>
        <w:rPr>
          <w:color w:val="000000" w:themeColor="text1"/>
          <w:highlight w:val="none"/>
          <w14:textFill>
            <w14:solidFill>
              <w14:schemeClr w14:val="tx1"/>
            </w14:solidFill>
          </w14:textFill>
        </w:rPr>
        <w:t>的</w:t>
      </w:r>
      <w:r>
        <w:rPr>
          <w:color w:val="000000" w:themeColor="text1"/>
          <w:spacing w:val="-3"/>
          <w:highlight w:val="none"/>
          <w14:textFill>
            <w14:solidFill>
              <w14:schemeClr w14:val="tx1"/>
            </w14:solidFill>
          </w14:textFill>
        </w:rPr>
        <w:t>关</w:t>
      </w:r>
      <w:r>
        <w:rPr>
          <w:color w:val="000000" w:themeColor="text1"/>
          <w:highlight w:val="none"/>
          <w14:textFill>
            <w14:solidFill>
              <w14:schemeClr w14:val="tx1"/>
            </w14:solidFill>
          </w14:textFill>
        </w:rPr>
        <w:t>节</w:t>
      </w:r>
      <w:r>
        <w:rPr>
          <w:color w:val="000000" w:themeColor="text1"/>
          <w:highlight w:val="none"/>
          <w14:textFill>
            <w14:solidFill>
              <w14:schemeClr w14:val="tx1"/>
            </w14:solidFill>
          </w14:textFill>
        </w:rPr>
        <w:tab/>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4</w:t>
      </w:r>
      <w:r>
        <w:rPr>
          <w:color w:val="000000" w:themeColor="text1"/>
          <w:spacing w:val="-48"/>
          <w:highlight w:val="none"/>
          <w14:textFill>
            <w14:solidFill>
              <w14:schemeClr w14:val="tx1"/>
            </w14:solidFill>
          </w14:textFill>
        </w:rPr>
        <w:t xml:space="preserve"> </w:t>
      </w:r>
      <w:r>
        <w:rPr>
          <w:color w:val="000000" w:themeColor="text1"/>
          <w:highlight w:val="none"/>
          <w14:textFill>
            <w14:solidFill>
              <w14:schemeClr w14:val="tx1"/>
            </w14:solidFill>
          </w14:textFill>
        </w:rPr>
        <w:t>级</w:t>
      </w:r>
      <w:r>
        <w:rPr>
          <w:color w:val="000000" w:themeColor="text1"/>
          <w:spacing w:val="-3"/>
          <w:highlight w:val="none"/>
          <w14:textFill>
            <w14:solidFill>
              <w14:schemeClr w14:val="tx1"/>
            </w14:solidFill>
          </w14:textFill>
        </w:rPr>
        <w:t>水</w:t>
      </w:r>
      <w:r>
        <w:rPr>
          <w:color w:val="000000" w:themeColor="text1"/>
          <w:highlight w:val="none"/>
          <w14:textFill>
            <w14:solidFill>
              <w14:schemeClr w14:val="tx1"/>
            </w14:solidFill>
          </w14:textFill>
        </w:rPr>
        <w:t>平</w:t>
      </w:r>
      <w:r>
        <w:rPr>
          <w:color w:val="000000" w:themeColor="text1"/>
          <w:spacing w:val="-3"/>
          <w:highlight w:val="none"/>
          <w14:textFill>
            <w14:solidFill>
              <w14:schemeClr w14:val="tx1"/>
            </w14:solidFill>
          </w14:textFill>
        </w:rPr>
        <w:t>类</w:t>
      </w:r>
      <w:r>
        <w:rPr>
          <w:color w:val="000000" w:themeColor="text1"/>
          <w:highlight w:val="none"/>
          <w14:textFill>
            <w14:solidFill>
              <w14:schemeClr w14:val="tx1"/>
            </w14:solidFill>
          </w14:textFill>
        </w:rPr>
        <w:t>目</w:t>
      </w:r>
      <w:r>
        <w:rPr>
          <w:rFonts w:hint="eastAsia"/>
          <w:color w:val="000000" w:themeColor="text1"/>
          <w:highlight w:val="none"/>
          <w:lang w:eastAsia="zh-CN"/>
          <w14:textFill>
            <w14:solidFill>
              <w14:schemeClr w14:val="tx1"/>
            </w14:solidFill>
          </w14:textFill>
        </w:rPr>
        <w:t>）</w:t>
      </w:r>
    </w:p>
    <w:p>
      <w:pPr>
        <w:pStyle w:val="8"/>
        <w:spacing w:before="43" w:line="278" w:lineRule="auto"/>
        <w:ind w:left="496" w:right="426" w:firstLine="42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根据人身保险伤残评定标准中伤残条目的需要，可以应用任何级别的编码数字。任何个体在每一水</w:t>
      </w:r>
      <w:r>
        <w:rPr>
          <w:color w:val="000000" w:themeColor="text1"/>
          <w:spacing w:val="-5"/>
          <w:highlight w:val="none"/>
          <w14:textFill>
            <w14:solidFill>
              <w14:schemeClr w14:val="tx1"/>
            </w14:solidFill>
          </w14:textFill>
        </w:rPr>
        <w:t>平上可以有不止一种编码，它们可以是相互独立的或是彼此间相互联系的。</w:t>
      </w:r>
    </w:p>
    <w:p>
      <w:pPr>
        <w:pStyle w:val="8"/>
        <w:spacing w:before="7"/>
        <w:rPr>
          <w:color w:val="000000" w:themeColor="text1"/>
          <w:sz w:val="24"/>
          <w:highlight w:val="none"/>
          <w14:textFill>
            <w14:solidFill>
              <w14:schemeClr w14:val="tx1"/>
            </w14:solidFill>
          </w14:textFill>
        </w:rPr>
      </w:pPr>
    </w:p>
    <w:p>
      <w:pPr>
        <w:pStyle w:val="20"/>
        <w:numPr>
          <w:ilvl w:val="1"/>
          <w:numId w:val="11"/>
        </w:numPr>
        <w:tabs>
          <w:tab w:val="left" w:pos="1023"/>
        </w:tabs>
        <w:autoSpaceDE w:val="0"/>
        <w:autoSpaceDN w:val="0"/>
        <w:spacing w:after="0"/>
        <w:ind w:left="1022" w:hanging="526"/>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分类级别的含义</w:t>
      </w:r>
    </w:p>
    <w:p>
      <w:pPr>
        <w:pStyle w:val="8"/>
        <w:spacing w:before="6"/>
        <w:rPr>
          <w:rFonts w:ascii="黑体"/>
          <w:color w:val="000000" w:themeColor="text1"/>
          <w:sz w:val="27"/>
          <w:highlight w:val="none"/>
          <w14:textFill>
            <w14:solidFill>
              <w14:schemeClr w14:val="tx1"/>
            </w14:solidFill>
          </w14:textFill>
        </w:rPr>
      </w:pPr>
    </w:p>
    <w:p>
      <w:pPr>
        <w:pStyle w:val="8"/>
        <w:spacing w:line="278" w:lineRule="auto"/>
        <w:ind w:left="496" w:right="426" w:firstLine="420"/>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 xml:space="preserve">人身保险伤残评定标准按照 </w:t>
      </w:r>
      <w:r>
        <w:rPr>
          <w:rFonts w:ascii="Times New Roman" w:eastAsia="Times New Roman"/>
          <w:color w:val="000000" w:themeColor="text1"/>
          <w:highlight w:val="none"/>
          <w14:textFill>
            <w14:solidFill>
              <w14:schemeClr w14:val="tx1"/>
            </w14:solidFill>
          </w14:textFill>
        </w:rPr>
        <w:t xml:space="preserve">ICF </w:t>
      </w:r>
      <w:r>
        <w:rPr>
          <w:color w:val="000000" w:themeColor="text1"/>
          <w:spacing w:val="-6"/>
          <w:highlight w:val="none"/>
          <w14:textFill>
            <w14:solidFill>
              <w14:schemeClr w14:val="tx1"/>
            </w14:solidFill>
          </w14:textFill>
        </w:rPr>
        <w:t xml:space="preserve">分为 </w:t>
      </w:r>
      <w:r>
        <w:rPr>
          <w:rFonts w:ascii="Times New Roman" w:eastAsia="Times New Roman"/>
          <w:color w:val="000000" w:themeColor="text1"/>
          <w:highlight w:val="none"/>
          <w14:textFill>
            <w14:solidFill>
              <w14:schemeClr w14:val="tx1"/>
            </w14:solidFill>
          </w14:textFill>
        </w:rPr>
        <w:t xml:space="preserve">8 </w:t>
      </w:r>
      <w:r>
        <w:rPr>
          <w:color w:val="000000" w:themeColor="text1"/>
          <w:spacing w:val="-3"/>
          <w:highlight w:val="none"/>
          <w14:textFill>
            <w14:solidFill>
              <w14:schemeClr w14:val="tx1"/>
            </w14:solidFill>
          </w14:textFill>
        </w:rPr>
        <w:t>个大类，每个大类分为身体结构一级分类和身体功能一级</w:t>
      </w:r>
      <w:r>
        <w:rPr>
          <w:color w:val="000000" w:themeColor="text1"/>
          <w:spacing w:val="-11"/>
          <w:highlight w:val="none"/>
          <w14:textFill>
            <w14:solidFill>
              <w14:schemeClr w14:val="tx1"/>
            </w14:solidFill>
          </w14:textFill>
        </w:rPr>
        <w:t>分类，在身体结构或身体功能的一级分类下又分为二级或三级或四级小类。人身保险伤残评定标准中涉</w:t>
      </w:r>
      <w:r>
        <w:rPr>
          <w:color w:val="000000" w:themeColor="text1"/>
          <w:spacing w:val="-32"/>
          <w:highlight w:val="none"/>
          <w14:textFill>
            <w14:solidFill>
              <w14:schemeClr w14:val="tx1"/>
            </w14:solidFill>
          </w14:textFill>
        </w:rPr>
        <w:t xml:space="preserve">及 </w:t>
      </w:r>
      <w:r>
        <w:rPr>
          <w:rFonts w:ascii="Times New Roman" w:eastAsia="Times New Roman"/>
          <w:color w:val="000000" w:themeColor="text1"/>
          <w:highlight w:val="none"/>
          <w14:textFill>
            <w14:solidFill>
              <w14:schemeClr w14:val="tx1"/>
            </w14:solidFill>
          </w14:textFill>
        </w:rPr>
        <w:t xml:space="preserve">ICF </w:t>
      </w:r>
      <w:r>
        <w:rPr>
          <w:color w:val="000000" w:themeColor="text1"/>
          <w:spacing w:val="6"/>
          <w:highlight w:val="none"/>
          <w14:textFill>
            <w14:solidFill>
              <w14:schemeClr w14:val="tx1"/>
            </w14:solidFill>
          </w14:textFill>
        </w:rPr>
        <w:t>的具体内容如表</w:t>
      </w:r>
      <w:r>
        <w:rPr>
          <w:rFonts w:ascii="Times New Roman" w:eastAsia="Times New Roman"/>
          <w:color w:val="000000" w:themeColor="text1"/>
          <w:highlight w:val="none"/>
          <w14:textFill>
            <w14:solidFill>
              <w14:schemeClr w14:val="tx1"/>
            </w14:solidFill>
          </w14:textFill>
        </w:rPr>
        <w:t>A1</w:t>
      </w:r>
      <w:r>
        <w:rPr>
          <w:color w:val="000000" w:themeColor="text1"/>
          <w:highlight w:val="none"/>
          <w14:textFill>
            <w14:solidFill>
              <w14:schemeClr w14:val="tx1"/>
            </w14:solidFill>
          </w14:textFill>
        </w:rPr>
        <w:t>。</w:t>
      </w:r>
    </w:p>
    <w:p>
      <w:pPr>
        <w:pStyle w:val="8"/>
        <w:spacing w:before="5"/>
        <w:rPr>
          <w:color w:val="000000" w:themeColor="text1"/>
          <w:sz w:val="24"/>
          <w:highlight w:val="none"/>
          <w14:textFill>
            <w14:solidFill>
              <w14:schemeClr w14:val="tx1"/>
            </w14:solidFill>
          </w14:textFill>
        </w:rPr>
      </w:pPr>
    </w:p>
    <w:p>
      <w:pPr>
        <w:pStyle w:val="8"/>
        <w:spacing w:after="20"/>
        <w:ind w:left="2340" w:right="1855"/>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A1</w:t>
      </w: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534"/>
        <w:gridCol w:w="2827"/>
        <w:gridCol w:w="1255"/>
        <w:gridCol w:w="2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214" w:type="dxa"/>
            <w:vAlign w:val="top"/>
          </w:tcPr>
          <w:p>
            <w:pPr>
              <w:pStyle w:val="24"/>
              <w:spacing w:before="0"/>
              <w:ind w:left="0"/>
              <w:rPr>
                <w:rFonts w:ascii="Times New Roman"/>
                <w:color w:val="000000" w:themeColor="text1"/>
                <w:sz w:val="20"/>
                <w:highlight w:val="none"/>
                <w14:textFill>
                  <w14:solidFill>
                    <w14:schemeClr w14:val="tx1"/>
                  </w14:solidFill>
                </w14:textFill>
              </w:rPr>
            </w:pPr>
          </w:p>
        </w:tc>
        <w:tc>
          <w:tcPr>
            <w:tcW w:w="4361" w:type="dxa"/>
            <w:gridSpan w:val="2"/>
            <w:vAlign w:val="top"/>
          </w:tcPr>
          <w:p>
            <w:pPr>
              <w:pStyle w:val="24"/>
              <w:spacing w:before="12"/>
              <w:ind w:left="1801" w:right="178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身体结构</w:t>
            </w:r>
          </w:p>
        </w:tc>
        <w:tc>
          <w:tcPr>
            <w:tcW w:w="3997" w:type="dxa"/>
            <w:gridSpan w:val="2"/>
            <w:vAlign w:val="top"/>
          </w:tcPr>
          <w:p>
            <w:pPr>
              <w:pStyle w:val="24"/>
              <w:spacing w:before="12"/>
              <w:ind w:left="1620" w:right="160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身体功能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214" w:type="dxa"/>
            <w:vAlign w:val="top"/>
          </w:tcPr>
          <w:p>
            <w:pPr>
              <w:pStyle w:val="24"/>
              <w:spacing w:line="208" w:lineRule="exact"/>
              <w:ind w:left="407" w:right="39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大类</w:t>
            </w:r>
          </w:p>
        </w:tc>
        <w:tc>
          <w:tcPr>
            <w:tcW w:w="1534" w:type="dxa"/>
            <w:vAlign w:val="top"/>
          </w:tcPr>
          <w:p>
            <w:pPr>
              <w:pStyle w:val="24"/>
              <w:spacing w:line="208" w:lineRule="exact"/>
              <w:ind w:left="405"/>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一级分类</w:t>
            </w:r>
          </w:p>
        </w:tc>
        <w:tc>
          <w:tcPr>
            <w:tcW w:w="2827" w:type="dxa"/>
            <w:vAlign w:val="top"/>
          </w:tcPr>
          <w:p>
            <w:pPr>
              <w:pStyle w:val="24"/>
              <w:spacing w:line="208" w:lineRule="exact"/>
              <w:ind w:left="51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二级或三级或四级分类</w:t>
            </w:r>
          </w:p>
        </w:tc>
        <w:tc>
          <w:tcPr>
            <w:tcW w:w="1255" w:type="dxa"/>
            <w:vAlign w:val="top"/>
          </w:tcPr>
          <w:p>
            <w:pPr>
              <w:pStyle w:val="24"/>
              <w:spacing w:line="208" w:lineRule="exact"/>
              <w:ind w:left="94" w:right="8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一级分类</w:t>
            </w:r>
          </w:p>
        </w:tc>
        <w:tc>
          <w:tcPr>
            <w:tcW w:w="2742" w:type="dxa"/>
            <w:vAlign w:val="top"/>
          </w:tcPr>
          <w:p>
            <w:pPr>
              <w:pStyle w:val="24"/>
              <w:spacing w:line="208" w:lineRule="exact"/>
              <w:ind w:left="47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二级或三级或四级分类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214" w:type="dxa"/>
            <w:vAlign w:val="top"/>
          </w:tcPr>
          <w:p>
            <w:pPr>
              <w:pStyle w:val="24"/>
              <w:spacing w:line="249" w:lineRule="auto"/>
              <w:ind w:right="74"/>
              <w:jc w:val="both"/>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神经系统的结构和精神功能</w:t>
            </w:r>
          </w:p>
        </w:tc>
        <w:tc>
          <w:tcPr>
            <w:tcW w:w="1534" w:type="dxa"/>
            <w:vAlign w:val="top"/>
          </w:tcPr>
          <w:p>
            <w:pPr>
              <w:pStyle w:val="24"/>
              <w:spacing w:line="249" w:lineRule="auto"/>
              <w:ind w:left="108" w:right="9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s1 </w:t>
            </w:r>
            <w:r>
              <w:rPr>
                <w:color w:val="000000" w:themeColor="text1"/>
                <w:sz w:val="18"/>
                <w:highlight w:val="none"/>
                <w14:textFill>
                  <w14:solidFill>
                    <w14:schemeClr w14:val="tx1"/>
                  </w14:solidFill>
                </w14:textFill>
              </w:rPr>
              <w:t>神经系统的结构</w:t>
            </w:r>
          </w:p>
        </w:tc>
        <w:tc>
          <w:tcPr>
            <w:tcW w:w="2827" w:type="dxa"/>
            <w:vAlign w:val="top"/>
          </w:tcPr>
          <w:p>
            <w:pPr>
              <w:pStyle w:val="24"/>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s110 </w:t>
            </w:r>
            <w:r>
              <w:rPr>
                <w:color w:val="000000" w:themeColor="text1"/>
                <w:sz w:val="18"/>
                <w:highlight w:val="none"/>
                <w14:textFill>
                  <w14:solidFill>
                    <w14:schemeClr w14:val="tx1"/>
                  </w14:solidFill>
                </w14:textFill>
              </w:rPr>
              <w:t>脑的结构</w:t>
            </w:r>
          </w:p>
        </w:tc>
        <w:tc>
          <w:tcPr>
            <w:tcW w:w="1255" w:type="dxa"/>
            <w:vAlign w:val="top"/>
          </w:tcPr>
          <w:p>
            <w:pPr>
              <w:pStyle w:val="24"/>
              <w:ind w:left="94" w:right="166"/>
              <w:jc w:val="center"/>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b1 </w:t>
            </w:r>
            <w:r>
              <w:rPr>
                <w:color w:val="000000" w:themeColor="text1"/>
                <w:sz w:val="18"/>
                <w:highlight w:val="none"/>
                <w14:textFill>
                  <w14:solidFill>
                    <w14:schemeClr w14:val="tx1"/>
                  </w14:solidFill>
                </w14:textFill>
              </w:rPr>
              <w:t>精神功能</w:t>
            </w:r>
          </w:p>
        </w:tc>
        <w:tc>
          <w:tcPr>
            <w:tcW w:w="2742" w:type="dxa"/>
            <w:vAlign w:val="top"/>
          </w:tcPr>
          <w:p>
            <w:pPr>
              <w:pStyle w:val="24"/>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b110</w:t>
            </w:r>
            <w:r>
              <w:rPr>
                <w:rFonts w:ascii="Times New Roman" w:eastAsia="Times New Roman"/>
                <w:color w:val="000000" w:themeColor="text1"/>
                <w:spacing w:val="-5"/>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意识功能</w:t>
            </w:r>
          </w:p>
          <w:p>
            <w:pPr>
              <w:pStyle w:val="24"/>
              <w:spacing w:before="10"/>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b117</w:t>
            </w:r>
            <w:r>
              <w:rPr>
                <w:rFonts w:ascii="Times New Roman" w:eastAsia="Times New Roman"/>
                <w:color w:val="000000" w:themeColor="text1"/>
                <w:spacing w:val="-5"/>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智力功能</w:t>
            </w:r>
          </w:p>
          <w:p>
            <w:pPr>
              <w:pStyle w:val="24"/>
              <w:spacing w:before="9"/>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b167 </w:t>
            </w:r>
            <w:r>
              <w:rPr>
                <w:color w:val="000000" w:themeColor="text1"/>
                <w:sz w:val="18"/>
                <w:highlight w:val="none"/>
                <w14:textFill>
                  <w14:solidFill>
                    <w14:schemeClr w14:val="tx1"/>
                  </w14:solidFill>
                </w14:textFill>
              </w:rPr>
              <w:t>语言精神功能</w:t>
            </w:r>
          </w:p>
          <w:p>
            <w:pPr>
              <w:pStyle w:val="24"/>
              <w:spacing w:before="10" w:line="213" w:lineRule="exact"/>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b198 </w:t>
            </w:r>
            <w:r>
              <w:rPr>
                <w:color w:val="000000" w:themeColor="text1"/>
                <w:sz w:val="18"/>
                <w:highlight w:val="none"/>
                <w14:textFill>
                  <w14:solidFill>
                    <w14:schemeClr w14:val="tx1"/>
                  </w14:solidFill>
                </w14:textFill>
              </w:rPr>
              <w:t>其他特指的精神功能</w:t>
            </w:r>
          </w:p>
        </w:tc>
      </w:tr>
    </w:tbl>
    <w:p>
      <w:pPr>
        <w:spacing w:line="213" w:lineRule="exact"/>
        <w:rPr>
          <w:color w:val="000000" w:themeColor="text1"/>
          <w:sz w:val="18"/>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5"/>
        <w:rPr>
          <w:rFonts w:ascii="Times New Roman"/>
          <w:color w:val="000000" w:themeColor="text1"/>
          <w:sz w:val="20"/>
          <w:highlight w:val="none"/>
          <w14:textFill>
            <w14:solidFill>
              <w14:schemeClr w14:val="tx1"/>
            </w14:solidFill>
          </w14:textFill>
        </w:rPr>
      </w:pPr>
    </w:p>
    <w:tbl>
      <w:tblPr>
        <w:tblStyle w:val="14"/>
        <w:tblW w:w="9572"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5"/>
        <w:gridCol w:w="1534"/>
        <w:gridCol w:w="2827"/>
        <w:gridCol w:w="1255"/>
        <w:gridCol w:w="2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215"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4361" w:type="dxa"/>
            <w:gridSpan w:val="2"/>
            <w:vAlign w:val="top"/>
          </w:tcPr>
          <w:p>
            <w:pPr>
              <w:pStyle w:val="24"/>
              <w:spacing w:before="12"/>
              <w:ind w:left="1801" w:right="1789"/>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身体结构</w:t>
            </w:r>
          </w:p>
        </w:tc>
        <w:tc>
          <w:tcPr>
            <w:tcW w:w="3996" w:type="dxa"/>
            <w:gridSpan w:val="2"/>
            <w:vAlign w:val="top"/>
          </w:tcPr>
          <w:p>
            <w:pPr>
              <w:pStyle w:val="24"/>
              <w:spacing w:before="12"/>
              <w:ind w:left="1619" w:right="160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身体功能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215" w:type="dxa"/>
            <w:vAlign w:val="top"/>
          </w:tcPr>
          <w:p>
            <w:pPr>
              <w:pStyle w:val="24"/>
              <w:spacing w:line="208" w:lineRule="exact"/>
              <w:ind w:left="407" w:right="39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大类</w:t>
            </w:r>
          </w:p>
        </w:tc>
        <w:tc>
          <w:tcPr>
            <w:tcW w:w="1534" w:type="dxa"/>
            <w:vAlign w:val="top"/>
          </w:tcPr>
          <w:p>
            <w:pPr>
              <w:pStyle w:val="24"/>
              <w:spacing w:line="208" w:lineRule="exact"/>
              <w:ind w:left="405"/>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一级分类</w:t>
            </w:r>
          </w:p>
        </w:tc>
        <w:tc>
          <w:tcPr>
            <w:tcW w:w="2827" w:type="dxa"/>
            <w:vAlign w:val="top"/>
          </w:tcPr>
          <w:p>
            <w:pPr>
              <w:pStyle w:val="24"/>
              <w:spacing w:line="208" w:lineRule="exact"/>
              <w:ind w:left="51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二级或三级或四级分类</w:t>
            </w:r>
          </w:p>
        </w:tc>
        <w:tc>
          <w:tcPr>
            <w:tcW w:w="1255" w:type="dxa"/>
            <w:vAlign w:val="top"/>
          </w:tcPr>
          <w:p>
            <w:pPr>
              <w:pStyle w:val="24"/>
              <w:spacing w:line="208" w:lineRule="exact"/>
              <w:ind w:left="26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一级分类</w:t>
            </w:r>
          </w:p>
        </w:tc>
        <w:tc>
          <w:tcPr>
            <w:tcW w:w="2741" w:type="dxa"/>
            <w:vAlign w:val="top"/>
          </w:tcPr>
          <w:p>
            <w:pPr>
              <w:pStyle w:val="24"/>
              <w:spacing w:line="208" w:lineRule="exact"/>
              <w:ind w:left="47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二级或三级或四级分类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215" w:type="dxa"/>
            <w:vAlign w:val="top"/>
          </w:tcPr>
          <w:p>
            <w:pPr>
              <w:pStyle w:val="24"/>
              <w:spacing w:before="12" w:line="249" w:lineRule="auto"/>
              <w:ind w:right="75"/>
              <w:jc w:val="both"/>
              <w:rPr>
                <w:color w:val="000000" w:themeColor="text1"/>
                <w:sz w:val="18"/>
                <w:highlight w:val="none"/>
                <w14:textFill>
                  <w14:solidFill>
                    <w14:schemeClr w14:val="tx1"/>
                  </w14:solidFill>
                </w14:textFill>
              </w:rPr>
            </w:pPr>
            <w:r>
              <w:rPr>
                <w:color w:val="000000" w:themeColor="text1"/>
                <w:spacing w:val="-15"/>
                <w:sz w:val="18"/>
                <w:highlight w:val="none"/>
                <w14:textFill>
                  <w14:solidFill>
                    <w14:schemeClr w14:val="tx1"/>
                  </w14:solidFill>
                </w14:textFill>
              </w:rPr>
              <w:t>眼、耳和有关</w:t>
            </w:r>
            <w:r>
              <w:rPr>
                <w:color w:val="000000" w:themeColor="text1"/>
                <w:spacing w:val="20"/>
                <w:sz w:val="18"/>
                <w:highlight w:val="none"/>
                <w14:textFill>
                  <w14:solidFill>
                    <w14:schemeClr w14:val="tx1"/>
                  </w14:solidFill>
                </w14:textFill>
              </w:rPr>
              <w:t>的结构和功</w:t>
            </w:r>
            <w:r>
              <w:rPr>
                <w:color w:val="000000" w:themeColor="text1"/>
                <w:sz w:val="18"/>
                <w:highlight w:val="none"/>
                <w14:textFill>
                  <w14:solidFill>
                    <w14:schemeClr w14:val="tx1"/>
                  </w14:solidFill>
                </w14:textFill>
              </w:rPr>
              <w:t>能</w:t>
            </w:r>
          </w:p>
        </w:tc>
        <w:tc>
          <w:tcPr>
            <w:tcW w:w="1534" w:type="dxa"/>
            <w:vAlign w:val="top"/>
          </w:tcPr>
          <w:p>
            <w:pPr>
              <w:pStyle w:val="24"/>
              <w:spacing w:before="12" w:line="249" w:lineRule="auto"/>
              <w:ind w:right="9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s2 </w:t>
            </w:r>
            <w:r>
              <w:rPr>
                <w:color w:val="000000" w:themeColor="text1"/>
                <w:sz w:val="18"/>
                <w:highlight w:val="none"/>
                <w14:textFill>
                  <w14:solidFill>
                    <w14:schemeClr w14:val="tx1"/>
                  </w14:solidFill>
                </w14:textFill>
              </w:rPr>
              <w:t>眼、耳和有关的结构</w:t>
            </w:r>
          </w:p>
        </w:tc>
        <w:tc>
          <w:tcPr>
            <w:tcW w:w="2827" w:type="dxa"/>
            <w:vAlign w:val="top"/>
          </w:tcPr>
          <w:p>
            <w:pPr>
              <w:pStyle w:val="24"/>
              <w:spacing w:before="12"/>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s220 </w:t>
            </w:r>
            <w:r>
              <w:rPr>
                <w:color w:val="000000" w:themeColor="text1"/>
                <w:sz w:val="18"/>
                <w:highlight w:val="none"/>
                <w14:textFill>
                  <w14:solidFill>
                    <w14:schemeClr w14:val="tx1"/>
                  </w14:solidFill>
                </w14:textFill>
              </w:rPr>
              <w:t>眼球的结构</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s2204 </w:t>
            </w:r>
            <w:r>
              <w:rPr>
                <w:color w:val="000000" w:themeColor="text1"/>
                <w:sz w:val="18"/>
                <w:highlight w:val="none"/>
                <w14:textFill>
                  <w14:solidFill>
                    <w14:schemeClr w14:val="tx1"/>
                  </w14:solidFill>
                </w14:textFill>
              </w:rPr>
              <w:t>眼球的晶状体</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s2301 </w:t>
            </w:r>
            <w:r>
              <w:rPr>
                <w:color w:val="000000" w:themeColor="text1"/>
                <w:sz w:val="18"/>
                <w:highlight w:val="none"/>
                <w14:textFill>
                  <w14:solidFill>
                    <w14:schemeClr w14:val="tx1"/>
                  </w14:solidFill>
                </w14:textFill>
              </w:rPr>
              <w:t>眼睑</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s240 </w:t>
            </w:r>
            <w:r>
              <w:rPr>
                <w:color w:val="000000" w:themeColor="text1"/>
                <w:sz w:val="18"/>
                <w:highlight w:val="none"/>
                <w14:textFill>
                  <w14:solidFill>
                    <w14:schemeClr w14:val="tx1"/>
                  </w14:solidFill>
                </w14:textFill>
              </w:rPr>
              <w:t>外耳的结构</w:t>
            </w:r>
          </w:p>
        </w:tc>
        <w:tc>
          <w:tcPr>
            <w:tcW w:w="1255" w:type="dxa"/>
            <w:vAlign w:val="top"/>
          </w:tcPr>
          <w:p>
            <w:pPr>
              <w:pStyle w:val="24"/>
              <w:spacing w:before="12" w:line="249" w:lineRule="auto"/>
              <w:ind w:left="110" w:right="7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b2 </w:t>
            </w:r>
            <w:r>
              <w:rPr>
                <w:color w:val="000000" w:themeColor="text1"/>
                <w:sz w:val="18"/>
                <w:highlight w:val="none"/>
                <w14:textFill>
                  <w14:solidFill>
                    <w14:schemeClr w14:val="tx1"/>
                  </w14:solidFill>
                </w14:textFill>
              </w:rPr>
              <w:t>感觉功能和痛觉</w:t>
            </w:r>
          </w:p>
        </w:tc>
        <w:tc>
          <w:tcPr>
            <w:tcW w:w="2741" w:type="dxa"/>
            <w:vAlign w:val="top"/>
          </w:tcPr>
          <w:p>
            <w:pPr>
              <w:pStyle w:val="24"/>
              <w:spacing w:before="12"/>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b210 </w:t>
            </w:r>
            <w:r>
              <w:rPr>
                <w:color w:val="000000" w:themeColor="text1"/>
                <w:sz w:val="18"/>
                <w:highlight w:val="none"/>
                <w14:textFill>
                  <w14:solidFill>
                    <w14:schemeClr w14:val="tx1"/>
                  </w14:solidFill>
                </w14:textFill>
              </w:rPr>
              <w:t>视功能</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b2101 </w:t>
            </w:r>
            <w:r>
              <w:rPr>
                <w:color w:val="000000" w:themeColor="text1"/>
                <w:sz w:val="18"/>
                <w:highlight w:val="none"/>
                <w14:textFill>
                  <w14:solidFill>
                    <w14:schemeClr w14:val="tx1"/>
                  </w14:solidFill>
                </w14:textFill>
              </w:rPr>
              <w:t>视野功能</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b230 </w:t>
            </w:r>
            <w:r>
              <w:rPr>
                <w:color w:val="000000" w:themeColor="text1"/>
                <w:sz w:val="18"/>
                <w:highlight w:val="none"/>
                <w14:textFill>
                  <w14:solidFill>
                    <w14:schemeClr w14:val="tx1"/>
                  </w14:solidFill>
                </w14:textFill>
              </w:rPr>
              <w:t>听功能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1215" w:type="dxa"/>
            <w:vAlign w:val="top"/>
          </w:tcPr>
          <w:p>
            <w:pPr>
              <w:pStyle w:val="24"/>
              <w:spacing w:line="249" w:lineRule="auto"/>
              <w:ind w:right="75"/>
              <w:jc w:val="both"/>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发声和言语的结构和功能</w:t>
            </w:r>
          </w:p>
        </w:tc>
        <w:tc>
          <w:tcPr>
            <w:tcW w:w="1534" w:type="dxa"/>
            <w:vAlign w:val="top"/>
          </w:tcPr>
          <w:p>
            <w:pPr>
              <w:pStyle w:val="24"/>
              <w:spacing w:line="249" w:lineRule="auto"/>
              <w:ind w:right="9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s3 </w:t>
            </w:r>
            <w:r>
              <w:rPr>
                <w:color w:val="000000" w:themeColor="text1"/>
                <w:sz w:val="18"/>
                <w:highlight w:val="none"/>
                <w14:textFill>
                  <w14:solidFill>
                    <w14:schemeClr w14:val="tx1"/>
                  </w14:solidFill>
                </w14:textFill>
              </w:rPr>
              <w:t>涉及发声和言语的结构</w:t>
            </w:r>
          </w:p>
        </w:tc>
        <w:tc>
          <w:tcPr>
            <w:tcW w:w="2827" w:type="dxa"/>
            <w:vAlign w:val="top"/>
          </w:tcPr>
          <w:p>
            <w:pPr>
              <w:pStyle w:val="24"/>
              <w:rPr>
                <w:color w:val="000000" w:themeColor="text1"/>
                <w:sz w:val="18"/>
                <w:highlight w:val="none"/>
                <w:lang w:val="en-US"/>
                <w14:textFill>
                  <w14:solidFill>
                    <w14:schemeClr w14:val="tx1"/>
                  </w14:solidFill>
                </w14:textFill>
              </w:rPr>
            </w:pPr>
            <w:r>
              <w:rPr>
                <w:rFonts w:ascii="Times New Roman" w:eastAsia="Times New Roman"/>
                <w:color w:val="000000" w:themeColor="text1"/>
                <w:sz w:val="18"/>
                <w:highlight w:val="none"/>
                <w:lang w:val="en-US"/>
                <w14:textFill>
                  <w14:solidFill>
                    <w14:schemeClr w14:val="tx1"/>
                  </w14:solidFill>
                </w14:textFill>
              </w:rPr>
              <w:t xml:space="preserve">s3100 </w:t>
            </w:r>
            <w:r>
              <w:rPr>
                <w:color w:val="000000" w:themeColor="text1"/>
                <w:sz w:val="18"/>
                <w:highlight w:val="none"/>
                <w14:textFill>
                  <w14:solidFill>
                    <w14:schemeClr w14:val="tx1"/>
                  </w14:solidFill>
                </w14:textFill>
              </w:rPr>
              <w:t>外鼻</w:t>
            </w:r>
          </w:p>
          <w:p>
            <w:pPr>
              <w:pStyle w:val="24"/>
              <w:spacing w:before="10"/>
              <w:rPr>
                <w:color w:val="000000" w:themeColor="text1"/>
                <w:sz w:val="18"/>
                <w:highlight w:val="none"/>
                <w:lang w:val="en-US"/>
                <w14:textFill>
                  <w14:solidFill>
                    <w14:schemeClr w14:val="tx1"/>
                  </w14:solidFill>
                </w14:textFill>
              </w:rPr>
            </w:pPr>
            <w:r>
              <w:rPr>
                <w:rFonts w:ascii="Times New Roman" w:eastAsia="Times New Roman"/>
                <w:color w:val="000000" w:themeColor="text1"/>
                <w:sz w:val="18"/>
                <w:highlight w:val="none"/>
                <w:lang w:val="en-US"/>
                <w14:textFill>
                  <w14:solidFill>
                    <w14:schemeClr w14:val="tx1"/>
                  </w14:solidFill>
                </w14:textFill>
              </w:rPr>
              <w:t>s3100A</w:t>
            </w:r>
            <w:r>
              <w:rPr>
                <w:rFonts w:ascii="Times New Roman" w:eastAsia="Times New Roman"/>
                <w:color w:val="000000" w:themeColor="text1"/>
                <w:spacing w:val="-3"/>
                <w:sz w:val="18"/>
                <w:highlight w:val="none"/>
                <w:lang w:val="en-US"/>
                <w14:textFill>
                  <w14:solidFill>
                    <w14:schemeClr w14:val="tx1"/>
                  </w14:solidFill>
                </w14:textFill>
              </w:rPr>
              <w:t xml:space="preserve"> </w:t>
            </w:r>
            <w:r>
              <w:rPr>
                <w:color w:val="000000" w:themeColor="text1"/>
                <w:sz w:val="18"/>
                <w:highlight w:val="none"/>
                <w14:textFill>
                  <w14:solidFill>
                    <w14:schemeClr w14:val="tx1"/>
                  </w14:solidFill>
                </w14:textFill>
              </w:rPr>
              <w:t>鼻翼</w:t>
            </w:r>
          </w:p>
          <w:p>
            <w:pPr>
              <w:pStyle w:val="24"/>
              <w:spacing w:before="9"/>
              <w:rPr>
                <w:color w:val="000000" w:themeColor="text1"/>
                <w:sz w:val="18"/>
                <w:highlight w:val="none"/>
                <w:lang w:val="en-US"/>
                <w14:textFill>
                  <w14:solidFill>
                    <w14:schemeClr w14:val="tx1"/>
                  </w14:solidFill>
                </w14:textFill>
              </w:rPr>
            </w:pPr>
            <w:r>
              <w:rPr>
                <w:rFonts w:ascii="Times New Roman" w:eastAsia="Times New Roman"/>
                <w:color w:val="000000" w:themeColor="text1"/>
                <w:sz w:val="18"/>
                <w:highlight w:val="none"/>
                <w:lang w:val="en-US"/>
                <w14:textFill>
                  <w14:solidFill>
                    <w14:schemeClr w14:val="tx1"/>
                  </w14:solidFill>
                </w14:textFill>
              </w:rPr>
              <w:t>s3108A</w:t>
            </w:r>
            <w:r>
              <w:rPr>
                <w:rFonts w:ascii="Times New Roman" w:eastAsia="Times New Roman"/>
                <w:color w:val="000000" w:themeColor="text1"/>
                <w:spacing w:val="-3"/>
                <w:sz w:val="18"/>
                <w:highlight w:val="none"/>
                <w:lang w:val="en-US"/>
                <w14:textFill>
                  <w14:solidFill>
                    <w14:schemeClr w14:val="tx1"/>
                  </w14:solidFill>
                </w14:textFill>
              </w:rPr>
              <w:t xml:space="preserve"> </w:t>
            </w:r>
            <w:r>
              <w:rPr>
                <w:color w:val="000000" w:themeColor="text1"/>
                <w:sz w:val="18"/>
                <w:highlight w:val="none"/>
                <w14:textFill>
                  <w14:solidFill>
                    <w14:schemeClr w14:val="tx1"/>
                  </w14:solidFill>
                </w14:textFill>
              </w:rPr>
              <w:t>鼻孔</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s3108B </w:t>
            </w:r>
            <w:r>
              <w:rPr>
                <w:color w:val="000000" w:themeColor="text1"/>
                <w:sz w:val="18"/>
                <w:highlight w:val="none"/>
                <w14:textFill>
                  <w14:solidFill>
                    <w14:schemeClr w14:val="tx1"/>
                  </w14:solidFill>
                </w14:textFill>
              </w:rPr>
              <w:t>鼻腔</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s3200 </w:t>
            </w:r>
            <w:r>
              <w:rPr>
                <w:color w:val="000000" w:themeColor="text1"/>
                <w:sz w:val="18"/>
                <w:highlight w:val="none"/>
                <w14:textFill>
                  <w14:solidFill>
                    <w14:schemeClr w14:val="tx1"/>
                  </w14:solidFill>
                </w14:textFill>
              </w:rPr>
              <w:t>牙齿</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s3203 </w:t>
            </w:r>
            <w:r>
              <w:rPr>
                <w:color w:val="000000" w:themeColor="text1"/>
                <w:sz w:val="18"/>
                <w:highlight w:val="none"/>
                <w14:textFill>
                  <w14:solidFill>
                    <w14:schemeClr w14:val="tx1"/>
                  </w14:solidFill>
                </w14:textFill>
              </w:rPr>
              <w:t>舌</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s3300 </w:t>
            </w:r>
            <w:r>
              <w:rPr>
                <w:color w:val="000000" w:themeColor="text1"/>
                <w:sz w:val="18"/>
                <w:highlight w:val="none"/>
                <w14:textFill>
                  <w14:solidFill>
                    <w14:schemeClr w14:val="tx1"/>
                  </w14:solidFill>
                </w14:textFill>
              </w:rPr>
              <w:t>鼻咽</w:t>
            </w:r>
          </w:p>
          <w:p>
            <w:pPr>
              <w:pStyle w:val="24"/>
              <w:spacing w:before="10" w:line="208" w:lineRule="exact"/>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s3400 </w:t>
            </w:r>
            <w:r>
              <w:rPr>
                <w:color w:val="000000" w:themeColor="text1"/>
                <w:sz w:val="18"/>
                <w:highlight w:val="none"/>
                <w14:textFill>
                  <w14:solidFill>
                    <w14:schemeClr w14:val="tx1"/>
                  </w14:solidFill>
                </w14:textFill>
              </w:rPr>
              <w:t>声带</w:t>
            </w:r>
          </w:p>
        </w:tc>
        <w:tc>
          <w:tcPr>
            <w:tcW w:w="1255" w:type="dxa"/>
            <w:vAlign w:val="top"/>
          </w:tcPr>
          <w:p>
            <w:pPr>
              <w:pStyle w:val="24"/>
              <w:spacing w:line="249" w:lineRule="auto"/>
              <w:ind w:left="110" w:right="7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b3 </w:t>
            </w:r>
            <w:r>
              <w:rPr>
                <w:color w:val="000000" w:themeColor="text1"/>
                <w:sz w:val="18"/>
                <w:highlight w:val="none"/>
                <w14:textFill>
                  <w14:solidFill>
                    <w14:schemeClr w14:val="tx1"/>
                  </w14:solidFill>
                </w14:textFill>
              </w:rPr>
              <w:t>发声和言语功能</w:t>
            </w:r>
          </w:p>
        </w:tc>
        <w:tc>
          <w:tcPr>
            <w:tcW w:w="2741" w:type="dxa"/>
            <w:vAlign w:val="top"/>
          </w:tcPr>
          <w:p>
            <w:pPr>
              <w:pStyle w:val="24"/>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b399 </w:t>
            </w:r>
            <w:r>
              <w:rPr>
                <w:color w:val="000000" w:themeColor="text1"/>
                <w:sz w:val="18"/>
                <w:highlight w:val="none"/>
                <w14:textFill>
                  <w14:solidFill>
                    <w14:schemeClr w14:val="tx1"/>
                  </w14:solidFill>
                </w14:textFill>
              </w:rPr>
              <w:t>未特指的语言和发声功能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215" w:type="dxa"/>
            <w:vAlign w:val="top"/>
          </w:tcPr>
          <w:p>
            <w:pPr>
              <w:pStyle w:val="24"/>
              <w:spacing w:line="249" w:lineRule="auto"/>
              <w:ind w:right="75"/>
              <w:jc w:val="both"/>
              <w:rPr>
                <w:color w:val="000000" w:themeColor="text1"/>
                <w:sz w:val="18"/>
                <w:highlight w:val="none"/>
                <w14:textFill>
                  <w14:solidFill>
                    <w14:schemeClr w14:val="tx1"/>
                  </w14:solidFill>
                </w14:textFill>
              </w:rPr>
            </w:pPr>
            <w:r>
              <w:rPr>
                <w:color w:val="000000" w:themeColor="text1"/>
                <w:spacing w:val="-15"/>
                <w:sz w:val="18"/>
                <w:highlight w:val="none"/>
                <w14:textFill>
                  <w14:solidFill>
                    <w14:schemeClr w14:val="tx1"/>
                  </w14:solidFill>
                </w14:textFill>
              </w:rPr>
              <w:t>心血管，免疫</w:t>
            </w:r>
            <w:r>
              <w:rPr>
                <w:color w:val="000000" w:themeColor="text1"/>
                <w:spacing w:val="20"/>
                <w:sz w:val="18"/>
                <w:highlight w:val="none"/>
                <w14:textFill>
                  <w14:solidFill>
                    <w14:schemeClr w14:val="tx1"/>
                  </w14:solidFill>
                </w14:textFill>
              </w:rPr>
              <w:t>和呼吸系统的结构和功</w:t>
            </w:r>
            <w:r>
              <w:rPr>
                <w:color w:val="000000" w:themeColor="text1"/>
                <w:sz w:val="18"/>
                <w:highlight w:val="none"/>
                <w14:textFill>
                  <w14:solidFill>
                    <w14:schemeClr w14:val="tx1"/>
                  </w14:solidFill>
                </w14:textFill>
              </w:rPr>
              <w:t>能</w:t>
            </w:r>
          </w:p>
        </w:tc>
        <w:tc>
          <w:tcPr>
            <w:tcW w:w="1534" w:type="dxa"/>
            <w:vAlign w:val="top"/>
          </w:tcPr>
          <w:p>
            <w:pPr>
              <w:pStyle w:val="24"/>
              <w:spacing w:line="249" w:lineRule="auto"/>
              <w:ind w:right="87"/>
              <w:jc w:val="both"/>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s4 </w:t>
            </w:r>
            <w:r>
              <w:rPr>
                <w:color w:val="000000" w:themeColor="text1"/>
                <w:sz w:val="18"/>
                <w:highlight w:val="none"/>
                <w14:textFill>
                  <w14:solidFill>
                    <w14:schemeClr w14:val="tx1"/>
                  </w14:solidFill>
                </w14:textFill>
              </w:rPr>
              <w:t>心血管、免疫和呼吸系统的结构</w:t>
            </w:r>
          </w:p>
        </w:tc>
        <w:tc>
          <w:tcPr>
            <w:tcW w:w="2827" w:type="dxa"/>
            <w:vAlign w:val="top"/>
          </w:tcPr>
          <w:p>
            <w:pPr>
              <w:pStyle w:val="24"/>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s4100 </w:t>
            </w:r>
            <w:r>
              <w:rPr>
                <w:color w:val="000000" w:themeColor="text1"/>
                <w:sz w:val="18"/>
                <w:highlight w:val="none"/>
                <w14:textFill>
                  <w14:solidFill>
                    <w14:schemeClr w14:val="tx1"/>
                  </w14:solidFill>
                </w14:textFill>
              </w:rPr>
              <w:t>心脏</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s41008 </w:t>
            </w:r>
            <w:r>
              <w:rPr>
                <w:color w:val="000000" w:themeColor="text1"/>
                <w:sz w:val="18"/>
                <w:highlight w:val="none"/>
                <w14:textFill>
                  <w14:solidFill>
                    <w14:schemeClr w14:val="tx1"/>
                  </w14:solidFill>
                </w14:textFill>
              </w:rPr>
              <w:t>特指心肌</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s4203 </w:t>
            </w:r>
            <w:r>
              <w:rPr>
                <w:color w:val="000000" w:themeColor="text1"/>
                <w:sz w:val="18"/>
                <w:highlight w:val="none"/>
                <w14:textFill>
                  <w14:solidFill>
                    <w14:schemeClr w14:val="tx1"/>
                  </w14:solidFill>
                </w14:textFill>
              </w:rPr>
              <w:t>脾</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s4301 </w:t>
            </w:r>
            <w:r>
              <w:rPr>
                <w:color w:val="000000" w:themeColor="text1"/>
                <w:sz w:val="18"/>
                <w:highlight w:val="none"/>
                <w14:textFill>
                  <w14:solidFill>
                    <w14:schemeClr w14:val="tx1"/>
                  </w14:solidFill>
                </w14:textFill>
              </w:rPr>
              <w:t>肺</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s43018A </w:t>
            </w:r>
            <w:r>
              <w:rPr>
                <w:color w:val="000000" w:themeColor="text1"/>
                <w:sz w:val="18"/>
                <w:highlight w:val="none"/>
                <w14:textFill>
                  <w14:solidFill>
                    <w14:schemeClr w14:val="tx1"/>
                  </w14:solidFill>
                </w14:textFill>
              </w:rPr>
              <w:t>特指肺叶</w:t>
            </w:r>
          </w:p>
          <w:p>
            <w:pPr>
              <w:pStyle w:val="24"/>
              <w:spacing w:before="9" w:line="208" w:lineRule="exact"/>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s4302A </w:t>
            </w:r>
            <w:r>
              <w:rPr>
                <w:color w:val="000000" w:themeColor="text1"/>
                <w:sz w:val="18"/>
                <w:highlight w:val="none"/>
                <w14:textFill>
                  <w14:solidFill>
                    <w14:schemeClr w14:val="tx1"/>
                  </w14:solidFill>
                </w14:textFill>
              </w:rPr>
              <w:t>肋骨</w:t>
            </w:r>
          </w:p>
        </w:tc>
        <w:tc>
          <w:tcPr>
            <w:tcW w:w="1255" w:type="dxa"/>
            <w:vAlign w:val="top"/>
          </w:tcPr>
          <w:p>
            <w:pPr>
              <w:pStyle w:val="24"/>
              <w:spacing w:line="249" w:lineRule="auto"/>
              <w:ind w:left="110" w:right="90"/>
              <w:jc w:val="both"/>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b4 </w:t>
            </w:r>
            <w:r>
              <w:rPr>
                <w:color w:val="000000" w:themeColor="text1"/>
                <w:spacing w:val="-21"/>
                <w:sz w:val="18"/>
                <w:highlight w:val="none"/>
                <w14:textFill>
                  <w14:solidFill>
                    <w14:schemeClr w14:val="tx1"/>
                  </w14:solidFill>
                </w14:textFill>
              </w:rPr>
              <w:t>心血管、血</w:t>
            </w:r>
            <w:r>
              <w:rPr>
                <w:color w:val="000000" w:themeColor="text1"/>
                <w:spacing w:val="-11"/>
                <w:sz w:val="18"/>
                <w:highlight w:val="none"/>
                <w14:textFill>
                  <w14:solidFill>
                    <w14:schemeClr w14:val="tx1"/>
                  </w14:solidFill>
                </w14:textFill>
              </w:rPr>
              <w:t>液、免疫和呼</w:t>
            </w:r>
            <w:r>
              <w:rPr>
                <w:color w:val="000000" w:themeColor="text1"/>
                <w:sz w:val="18"/>
                <w:highlight w:val="none"/>
                <w14:textFill>
                  <w14:solidFill>
                    <w14:schemeClr w14:val="tx1"/>
                  </w14:solidFill>
                </w14:textFill>
              </w:rPr>
              <w:t>吸系统功能</w:t>
            </w:r>
          </w:p>
        </w:tc>
        <w:tc>
          <w:tcPr>
            <w:tcW w:w="2741" w:type="dxa"/>
            <w:vAlign w:val="top"/>
          </w:tcPr>
          <w:p>
            <w:pPr>
              <w:pStyle w:val="24"/>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b410 </w:t>
            </w:r>
            <w:r>
              <w:rPr>
                <w:color w:val="000000" w:themeColor="text1"/>
                <w:sz w:val="18"/>
                <w:highlight w:val="none"/>
                <w14:textFill>
                  <w14:solidFill>
                    <w14:schemeClr w14:val="tx1"/>
                  </w14:solidFill>
                </w14:textFill>
              </w:rPr>
              <w:t>心脏功能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1215" w:type="dxa"/>
            <w:vAlign w:val="top"/>
          </w:tcPr>
          <w:p>
            <w:pPr>
              <w:pStyle w:val="24"/>
              <w:spacing w:line="249" w:lineRule="auto"/>
              <w:ind w:right="75"/>
              <w:jc w:val="both"/>
              <w:rPr>
                <w:color w:val="000000" w:themeColor="text1"/>
                <w:sz w:val="18"/>
                <w:highlight w:val="none"/>
                <w14:textFill>
                  <w14:solidFill>
                    <w14:schemeClr w14:val="tx1"/>
                  </w14:solidFill>
                </w14:textFill>
              </w:rPr>
            </w:pPr>
            <w:r>
              <w:rPr>
                <w:color w:val="000000" w:themeColor="text1"/>
                <w:spacing w:val="-15"/>
                <w:sz w:val="18"/>
                <w:highlight w:val="none"/>
                <w14:textFill>
                  <w14:solidFill>
                    <w14:schemeClr w14:val="tx1"/>
                  </w14:solidFill>
                </w14:textFill>
              </w:rPr>
              <w:t>消化、代谢和</w:t>
            </w:r>
            <w:r>
              <w:rPr>
                <w:color w:val="000000" w:themeColor="text1"/>
                <w:spacing w:val="20"/>
                <w:sz w:val="18"/>
                <w:highlight w:val="none"/>
                <w14:textFill>
                  <w14:solidFill>
                    <w14:schemeClr w14:val="tx1"/>
                  </w14:solidFill>
                </w14:textFill>
              </w:rPr>
              <w:t>内分泌系统有关的结构</w:t>
            </w:r>
            <w:r>
              <w:rPr>
                <w:color w:val="000000" w:themeColor="text1"/>
                <w:sz w:val="18"/>
                <w:highlight w:val="none"/>
                <w14:textFill>
                  <w14:solidFill>
                    <w14:schemeClr w14:val="tx1"/>
                  </w14:solidFill>
                </w14:textFill>
              </w:rPr>
              <w:t>和功能</w:t>
            </w:r>
          </w:p>
        </w:tc>
        <w:tc>
          <w:tcPr>
            <w:tcW w:w="1534" w:type="dxa"/>
            <w:vAlign w:val="top"/>
          </w:tcPr>
          <w:p>
            <w:pPr>
              <w:pStyle w:val="24"/>
              <w:spacing w:line="249" w:lineRule="auto"/>
              <w:ind w:right="87"/>
              <w:jc w:val="both"/>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 </w:t>
            </w:r>
            <w:r>
              <w:rPr>
                <w:color w:val="000000" w:themeColor="text1"/>
                <w:sz w:val="18"/>
                <w:highlight w:val="none"/>
                <w14:textFill>
                  <w14:solidFill>
                    <w14:schemeClr w14:val="tx1"/>
                  </w14:solidFill>
                </w14:textFill>
              </w:rPr>
              <w:t>与消化、代谢和内分泌系统有关的结构</w:t>
            </w:r>
          </w:p>
        </w:tc>
        <w:tc>
          <w:tcPr>
            <w:tcW w:w="2827" w:type="dxa"/>
            <w:vAlign w:val="top"/>
          </w:tcPr>
          <w:p>
            <w:pPr>
              <w:pStyle w:val="24"/>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s530 </w:t>
            </w:r>
            <w:r>
              <w:rPr>
                <w:color w:val="000000" w:themeColor="text1"/>
                <w:sz w:val="18"/>
                <w:highlight w:val="none"/>
                <w14:textFill>
                  <w14:solidFill>
                    <w14:schemeClr w14:val="tx1"/>
                  </w14:solidFill>
                </w14:textFill>
              </w:rPr>
              <w:t>胃的结构</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s5400 </w:t>
            </w:r>
            <w:r>
              <w:rPr>
                <w:color w:val="000000" w:themeColor="text1"/>
                <w:sz w:val="18"/>
                <w:highlight w:val="none"/>
                <w14:textFill>
                  <w14:solidFill>
                    <w14:schemeClr w14:val="tx1"/>
                  </w14:solidFill>
                </w14:textFill>
              </w:rPr>
              <w:t>小肠</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s5400A </w:t>
            </w:r>
            <w:r>
              <w:rPr>
                <w:color w:val="000000" w:themeColor="text1"/>
                <w:sz w:val="18"/>
                <w:highlight w:val="none"/>
                <w14:textFill>
                  <w14:solidFill>
                    <w14:schemeClr w14:val="tx1"/>
                  </w14:solidFill>
                </w14:textFill>
              </w:rPr>
              <w:t>十二指肠</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s5400C </w:t>
            </w:r>
            <w:r>
              <w:rPr>
                <w:color w:val="000000" w:themeColor="text1"/>
                <w:sz w:val="18"/>
                <w:highlight w:val="none"/>
                <w14:textFill>
                  <w14:solidFill>
                    <w14:schemeClr w14:val="tx1"/>
                  </w14:solidFill>
                </w14:textFill>
              </w:rPr>
              <w:t>回肠</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s5401 </w:t>
            </w:r>
            <w:r>
              <w:rPr>
                <w:color w:val="000000" w:themeColor="text1"/>
                <w:sz w:val="18"/>
                <w:highlight w:val="none"/>
                <w14:textFill>
                  <w14:solidFill>
                    <w14:schemeClr w14:val="tx1"/>
                  </w14:solidFill>
                </w14:textFill>
              </w:rPr>
              <w:t>大肠</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s5401A</w:t>
            </w:r>
            <w:r>
              <w:rPr>
                <w:rFonts w:ascii="Times New Roman" w:eastAsia="Times New Roman"/>
                <w:color w:val="000000" w:themeColor="text1"/>
                <w:spacing w:val="-3"/>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结肠</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s5401B </w:t>
            </w:r>
            <w:r>
              <w:rPr>
                <w:color w:val="000000" w:themeColor="text1"/>
                <w:sz w:val="18"/>
                <w:highlight w:val="none"/>
                <w14:textFill>
                  <w14:solidFill>
                    <w14:schemeClr w14:val="tx1"/>
                  </w14:solidFill>
                </w14:textFill>
              </w:rPr>
              <w:t>直肠</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s5408A </w:t>
            </w:r>
            <w:r>
              <w:rPr>
                <w:color w:val="000000" w:themeColor="text1"/>
                <w:sz w:val="18"/>
                <w:highlight w:val="none"/>
                <w14:textFill>
                  <w14:solidFill>
                    <w14:schemeClr w14:val="tx1"/>
                  </w14:solidFill>
                </w14:textFill>
              </w:rPr>
              <w:t>特指盲肠</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s550</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胰的结构</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s560</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肝的结构</w:t>
            </w:r>
          </w:p>
          <w:p>
            <w:pPr>
              <w:pStyle w:val="24"/>
              <w:spacing w:before="10" w:line="208" w:lineRule="exact"/>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s598A </w:t>
            </w:r>
            <w:r>
              <w:rPr>
                <w:color w:val="000000" w:themeColor="text1"/>
                <w:sz w:val="18"/>
                <w:highlight w:val="none"/>
                <w14:textFill>
                  <w14:solidFill>
                    <w14:schemeClr w14:val="tx1"/>
                  </w14:solidFill>
                </w14:textFill>
              </w:rPr>
              <w:t>特指肛门</w:t>
            </w:r>
          </w:p>
        </w:tc>
        <w:tc>
          <w:tcPr>
            <w:tcW w:w="1255" w:type="dxa"/>
            <w:vAlign w:val="top"/>
          </w:tcPr>
          <w:p>
            <w:pPr>
              <w:pStyle w:val="24"/>
              <w:spacing w:line="249" w:lineRule="auto"/>
              <w:ind w:left="110" w:right="90"/>
              <w:jc w:val="both"/>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b5 </w:t>
            </w:r>
            <w:r>
              <w:rPr>
                <w:color w:val="000000" w:themeColor="text1"/>
                <w:spacing w:val="-21"/>
                <w:sz w:val="18"/>
                <w:highlight w:val="none"/>
                <w14:textFill>
                  <w14:solidFill>
                    <w14:schemeClr w14:val="tx1"/>
                  </w14:solidFill>
                </w14:textFill>
              </w:rPr>
              <w:t>消化、代谢</w:t>
            </w:r>
            <w:r>
              <w:rPr>
                <w:color w:val="000000" w:themeColor="text1"/>
                <w:spacing w:val="26"/>
                <w:sz w:val="18"/>
                <w:highlight w:val="none"/>
                <w14:textFill>
                  <w14:solidFill>
                    <w14:schemeClr w14:val="tx1"/>
                  </w14:solidFill>
                </w14:textFill>
              </w:rPr>
              <w:t>和内分泌系统功能</w:t>
            </w:r>
          </w:p>
        </w:tc>
        <w:tc>
          <w:tcPr>
            <w:tcW w:w="2741" w:type="dxa"/>
            <w:vAlign w:val="top"/>
          </w:tcPr>
          <w:p>
            <w:pPr>
              <w:pStyle w:val="24"/>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b5102 </w:t>
            </w:r>
            <w:r>
              <w:rPr>
                <w:color w:val="000000" w:themeColor="text1"/>
                <w:sz w:val="18"/>
                <w:highlight w:val="none"/>
                <w14:textFill>
                  <w14:solidFill>
                    <w14:schemeClr w14:val="tx1"/>
                  </w14:solidFill>
                </w14:textFill>
              </w:rPr>
              <w:t>咀嚼</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b5105 </w:t>
            </w:r>
            <w:r>
              <w:rPr>
                <w:color w:val="000000" w:themeColor="text1"/>
                <w:sz w:val="18"/>
                <w:highlight w:val="none"/>
                <w14:textFill>
                  <w14:solidFill>
                    <w14:schemeClr w14:val="tx1"/>
                  </w14:solidFill>
                </w14:textFill>
              </w:rPr>
              <w:t>吞咽</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b5152 </w:t>
            </w:r>
            <w:r>
              <w:rPr>
                <w:color w:val="000000" w:themeColor="text1"/>
                <w:sz w:val="18"/>
                <w:highlight w:val="none"/>
                <w14:textFill>
                  <w14:solidFill>
                    <w14:schemeClr w14:val="tx1"/>
                  </w14:solidFill>
                </w14:textFill>
              </w:rPr>
              <w:t>吸收养分</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b525 </w:t>
            </w:r>
            <w:r>
              <w:rPr>
                <w:color w:val="000000" w:themeColor="text1"/>
                <w:sz w:val="18"/>
                <w:highlight w:val="none"/>
                <w14:textFill>
                  <w14:solidFill>
                    <w14:schemeClr w14:val="tx1"/>
                  </w14:solidFill>
                </w14:textFill>
              </w:rPr>
              <w:t>排便功能</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b5408 </w:t>
            </w:r>
            <w:r>
              <w:rPr>
                <w:color w:val="000000" w:themeColor="text1"/>
                <w:sz w:val="18"/>
                <w:highlight w:val="none"/>
                <w14:textFill>
                  <w14:solidFill>
                    <w14:schemeClr w14:val="tx1"/>
                  </w14:solidFill>
                </w14:textFill>
              </w:rPr>
              <w:t>其他特指的一般代谢功能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8" w:hRule="atLeast"/>
        </w:trPr>
        <w:tc>
          <w:tcPr>
            <w:tcW w:w="1215" w:type="dxa"/>
            <w:vAlign w:val="top"/>
          </w:tcPr>
          <w:p>
            <w:pPr>
              <w:pStyle w:val="24"/>
              <w:spacing w:line="249" w:lineRule="auto"/>
              <w:ind w:right="75"/>
              <w:jc w:val="both"/>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泌尿和生殖系统有关的结构和功能</w:t>
            </w:r>
          </w:p>
        </w:tc>
        <w:tc>
          <w:tcPr>
            <w:tcW w:w="1534" w:type="dxa"/>
            <w:vAlign w:val="top"/>
          </w:tcPr>
          <w:p>
            <w:pPr>
              <w:pStyle w:val="24"/>
              <w:spacing w:line="249" w:lineRule="auto"/>
              <w:ind w:right="9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 </w:t>
            </w:r>
            <w:r>
              <w:rPr>
                <w:color w:val="000000" w:themeColor="text1"/>
                <w:sz w:val="18"/>
                <w:highlight w:val="none"/>
                <w14:textFill>
                  <w14:solidFill>
                    <w14:schemeClr w14:val="tx1"/>
                  </w14:solidFill>
                </w14:textFill>
              </w:rPr>
              <w:t>与泌尿和生殖系统有关的结构</w:t>
            </w:r>
          </w:p>
        </w:tc>
        <w:tc>
          <w:tcPr>
            <w:tcW w:w="2827" w:type="dxa"/>
            <w:vAlign w:val="top"/>
          </w:tcPr>
          <w:p>
            <w:pPr>
              <w:pStyle w:val="24"/>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s6100 </w:t>
            </w:r>
            <w:r>
              <w:rPr>
                <w:color w:val="000000" w:themeColor="text1"/>
                <w:sz w:val="18"/>
                <w:highlight w:val="none"/>
                <w14:textFill>
                  <w14:solidFill>
                    <w14:schemeClr w14:val="tx1"/>
                  </w14:solidFill>
                </w14:textFill>
              </w:rPr>
              <w:t>肾</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s6101 </w:t>
            </w:r>
            <w:r>
              <w:rPr>
                <w:color w:val="000000" w:themeColor="text1"/>
                <w:sz w:val="18"/>
                <w:highlight w:val="none"/>
                <w14:textFill>
                  <w14:solidFill>
                    <w14:schemeClr w14:val="tx1"/>
                  </w14:solidFill>
                </w14:textFill>
              </w:rPr>
              <w:t>输尿管</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s6102 </w:t>
            </w:r>
            <w:r>
              <w:rPr>
                <w:color w:val="000000" w:themeColor="text1"/>
                <w:sz w:val="18"/>
                <w:highlight w:val="none"/>
                <w14:textFill>
                  <w14:solidFill>
                    <w14:schemeClr w14:val="tx1"/>
                  </w14:solidFill>
                </w14:textFill>
              </w:rPr>
              <w:t>膀胱</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s6103 </w:t>
            </w:r>
            <w:r>
              <w:rPr>
                <w:color w:val="000000" w:themeColor="text1"/>
                <w:sz w:val="18"/>
                <w:highlight w:val="none"/>
                <w14:textFill>
                  <w14:solidFill>
                    <w14:schemeClr w14:val="tx1"/>
                  </w14:solidFill>
                </w14:textFill>
              </w:rPr>
              <w:t>尿道</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s6301 </w:t>
            </w:r>
            <w:r>
              <w:rPr>
                <w:color w:val="000000" w:themeColor="text1"/>
                <w:sz w:val="18"/>
                <w:highlight w:val="none"/>
                <w14:textFill>
                  <w14:solidFill>
                    <w14:schemeClr w14:val="tx1"/>
                  </w14:solidFill>
                </w14:textFill>
              </w:rPr>
              <w:t>子宫的结构</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s6302 </w:t>
            </w:r>
            <w:r>
              <w:rPr>
                <w:color w:val="000000" w:themeColor="text1"/>
                <w:sz w:val="18"/>
                <w:highlight w:val="none"/>
                <w14:textFill>
                  <w14:solidFill>
                    <w14:schemeClr w14:val="tx1"/>
                  </w14:solidFill>
                </w14:textFill>
              </w:rPr>
              <w:t>乳房和乳头</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s63033 </w:t>
            </w:r>
            <w:r>
              <w:rPr>
                <w:color w:val="000000" w:themeColor="text1"/>
                <w:sz w:val="18"/>
                <w:highlight w:val="none"/>
                <w14:textFill>
                  <w14:solidFill>
                    <w14:schemeClr w14:val="tx1"/>
                  </w14:solidFill>
                </w14:textFill>
              </w:rPr>
              <w:t>阴道</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s6304 </w:t>
            </w:r>
            <w:r>
              <w:rPr>
                <w:color w:val="000000" w:themeColor="text1"/>
                <w:sz w:val="18"/>
                <w:highlight w:val="none"/>
                <w14:textFill>
                  <w14:solidFill>
                    <w14:schemeClr w14:val="tx1"/>
                  </w14:solidFill>
                </w14:textFill>
              </w:rPr>
              <w:t>睾丸</w:t>
            </w:r>
          </w:p>
          <w:p>
            <w:pPr>
              <w:pStyle w:val="24"/>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s63051 </w:t>
            </w:r>
            <w:r>
              <w:rPr>
                <w:color w:val="000000" w:themeColor="text1"/>
                <w:sz w:val="18"/>
                <w:highlight w:val="none"/>
                <w14:textFill>
                  <w14:solidFill>
                    <w14:schemeClr w14:val="tx1"/>
                  </w14:solidFill>
                </w14:textFill>
              </w:rPr>
              <w:t>阴茎体</w:t>
            </w:r>
          </w:p>
          <w:p>
            <w:pPr>
              <w:pStyle w:val="24"/>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s6308 </w:t>
            </w:r>
            <w:r>
              <w:rPr>
                <w:color w:val="000000" w:themeColor="text1"/>
                <w:sz w:val="18"/>
                <w:highlight w:val="none"/>
                <w14:textFill>
                  <w14:solidFill>
                    <w14:schemeClr w14:val="tx1"/>
                  </w14:solidFill>
                </w14:textFill>
              </w:rPr>
              <w:t>特指输精管</w:t>
            </w:r>
          </w:p>
        </w:tc>
        <w:tc>
          <w:tcPr>
            <w:tcW w:w="1255" w:type="dxa"/>
            <w:vAlign w:val="top"/>
          </w:tcPr>
          <w:p>
            <w:pPr>
              <w:pStyle w:val="24"/>
              <w:spacing w:line="249" w:lineRule="auto"/>
              <w:ind w:left="110" w:right="7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b6 </w:t>
            </w:r>
            <w:r>
              <w:rPr>
                <w:color w:val="000000" w:themeColor="text1"/>
                <w:sz w:val="18"/>
                <w:highlight w:val="none"/>
                <w14:textFill>
                  <w14:solidFill>
                    <w14:schemeClr w14:val="tx1"/>
                  </w14:solidFill>
                </w14:textFill>
              </w:rPr>
              <w:t>泌尿生殖和生育功能</w:t>
            </w:r>
          </w:p>
        </w:tc>
        <w:tc>
          <w:tcPr>
            <w:tcW w:w="2741" w:type="dxa"/>
            <w:vAlign w:val="top"/>
          </w:tcPr>
          <w:p>
            <w:pPr>
              <w:pStyle w:val="24"/>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b620 </w:t>
            </w:r>
            <w:r>
              <w:rPr>
                <w:color w:val="000000" w:themeColor="text1"/>
                <w:sz w:val="18"/>
                <w:highlight w:val="none"/>
                <w14:textFill>
                  <w14:solidFill>
                    <w14:schemeClr w14:val="tx1"/>
                  </w14:solidFill>
                </w14:textFill>
              </w:rPr>
              <w:t>排尿功能</w:t>
            </w:r>
          </w:p>
        </w:tc>
      </w:tr>
    </w:tbl>
    <w:p>
      <w:pPr>
        <w:rPr>
          <w:color w:val="000000" w:themeColor="text1"/>
          <w:sz w:val="18"/>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5"/>
        <w:rPr>
          <w:rFonts w:ascii="Times New Roman"/>
          <w:color w:val="000000" w:themeColor="text1"/>
          <w:sz w:val="20"/>
          <w:highlight w:val="none"/>
          <w14:textFill>
            <w14:solidFill>
              <w14:schemeClr w14:val="tx1"/>
            </w14:solidFill>
          </w14:textFill>
        </w:rPr>
      </w:pPr>
    </w:p>
    <w:tbl>
      <w:tblPr>
        <w:tblStyle w:val="14"/>
        <w:tblW w:w="9572"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534"/>
        <w:gridCol w:w="2827"/>
        <w:gridCol w:w="1255"/>
        <w:gridCol w:w="2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214"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4361" w:type="dxa"/>
            <w:gridSpan w:val="2"/>
            <w:vAlign w:val="top"/>
          </w:tcPr>
          <w:p>
            <w:pPr>
              <w:pStyle w:val="24"/>
              <w:spacing w:before="12"/>
              <w:ind w:left="1801" w:right="1788"/>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身体结构</w:t>
            </w:r>
          </w:p>
        </w:tc>
        <w:tc>
          <w:tcPr>
            <w:tcW w:w="3997" w:type="dxa"/>
            <w:gridSpan w:val="2"/>
            <w:vAlign w:val="top"/>
          </w:tcPr>
          <w:p>
            <w:pPr>
              <w:pStyle w:val="24"/>
              <w:spacing w:before="12"/>
              <w:ind w:left="1620" w:right="1606"/>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身体功能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214" w:type="dxa"/>
            <w:vAlign w:val="top"/>
          </w:tcPr>
          <w:p>
            <w:pPr>
              <w:pStyle w:val="24"/>
              <w:spacing w:line="208" w:lineRule="exact"/>
              <w:ind w:left="407" w:right="397"/>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大类</w:t>
            </w:r>
          </w:p>
        </w:tc>
        <w:tc>
          <w:tcPr>
            <w:tcW w:w="1534" w:type="dxa"/>
            <w:vAlign w:val="top"/>
          </w:tcPr>
          <w:p>
            <w:pPr>
              <w:pStyle w:val="24"/>
              <w:spacing w:line="208" w:lineRule="exact"/>
              <w:ind w:left="405"/>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一级分类</w:t>
            </w:r>
          </w:p>
        </w:tc>
        <w:tc>
          <w:tcPr>
            <w:tcW w:w="2827" w:type="dxa"/>
            <w:vAlign w:val="top"/>
          </w:tcPr>
          <w:p>
            <w:pPr>
              <w:pStyle w:val="24"/>
              <w:spacing w:line="208" w:lineRule="exact"/>
              <w:ind w:left="51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二级或三级或四级分类</w:t>
            </w:r>
          </w:p>
        </w:tc>
        <w:tc>
          <w:tcPr>
            <w:tcW w:w="1255" w:type="dxa"/>
            <w:vAlign w:val="top"/>
          </w:tcPr>
          <w:p>
            <w:pPr>
              <w:pStyle w:val="24"/>
              <w:spacing w:line="208" w:lineRule="exact"/>
              <w:ind w:left="26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一级分类</w:t>
            </w:r>
          </w:p>
        </w:tc>
        <w:tc>
          <w:tcPr>
            <w:tcW w:w="2742" w:type="dxa"/>
            <w:vAlign w:val="top"/>
          </w:tcPr>
          <w:p>
            <w:pPr>
              <w:pStyle w:val="24"/>
              <w:spacing w:line="208" w:lineRule="exact"/>
              <w:ind w:left="47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二级或三级或四级分类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0" w:hRule="atLeast"/>
        </w:trPr>
        <w:tc>
          <w:tcPr>
            <w:tcW w:w="1214" w:type="dxa"/>
            <w:vAlign w:val="top"/>
          </w:tcPr>
          <w:p>
            <w:pPr>
              <w:pStyle w:val="24"/>
              <w:spacing w:before="12" w:line="249" w:lineRule="auto"/>
              <w:ind w:right="74"/>
              <w:jc w:val="both"/>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神经肌肉骨骼和运动有关的结构和功能</w:t>
            </w:r>
          </w:p>
        </w:tc>
        <w:tc>
          <w:tcPr>
            <w:tcW w:w="1534" w:type="dxa"/>
            <w:vAlign w:val="top"/>
          </w:tcPr>
          <w:p>
            <w:pPr>
              <w:pStyle w:val="24"/>
              <w:spacing w:before="12" w:line="249" w:lineRule="auto"/>
              <w:ind w:left="108" w:right="6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 </w:t>
            </w:r>
            <w:r>
              <w:rPr>
                <w:color w:val="000000" w:themeColor="text1"/>
                <w:sz w:val="18"/>
                <w:highlight w:val="none"/>
                <w14:textFill>
                  <w14:solidFill>
                    <w14:schemeClr w14:val="tx1"/>
                  </w14:solidFill>
                </w14:textFill>
              </w:rPr>
              <w:t>与运动有关的结构</w:t>
            </w:r>
          </w:p>
        </w:tc>
        <w:tc>
          <w:tcPr>
            <w:tcW w:w="2827" w:type="dxa"/>
            <w:vAlign w:val="top"/>
          </w:tcPr>
          <w:p>
            <w:pPr>
              <w:pStyle w:val="24"/>
              <w:spacing w:before="12"/>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s7100 </w:t>
            </w:r>
            <w:r>
              <w:rPr>
                <w:color w:val="000000" w:themeColor="text1"/>
                <w:sz w:val="18"/>
                <w:highlight w:val="none"/>
                <w14:textFill>
                  <w14:solidFill>
                    <w14:schemeClr w14:val="tx1"/>
                  </w14:solidFill>
                </w14:textFill>
              </w:rPr>
              <w:t>颅骨</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s7101A</w:t>
            </w:r>
            <w:r>
              <w:rPr>
                <w:rFonts w:ascii="Times New Roman" w:eastAsia="Times New Roman"/>
                <w:color w:val="000000" w:themeColor="text1"/>
                <w:spacing w:val="-3"/>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上颌骨</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s7101B </w:t>
            </w:r>
            <w:r>
              <w:rPr>
                <w:color w:val="000000" w:themeColor="text1"/>
                <w:sz w:val="18"/>
                <w:highlight w:val="none"/>
                <w14:textFill>
                  <w14:solidFill>
                    <w14:schemeClr w14:val="tx1"/>
                  </w14:solidFill>
                </w14:textFill>
              </w:rPr>
              <w:t>下颌骨</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s7103A </w:t>
            </w:r>
            <w:r>
              <w:rPr>
                <w:color w:val="000000" w:themeColor="text1"/>
                <w:sz w:val="18"/>
                <w:highlight w:val="none"/>
                <w14:textFill>
                  <w14:solidFill>
                    <w14:schemeClr w14:val="tx1"/>
                  </w14:solidFill>
                </w14:textFill>
              </w:rPr>
              <w:t>颞下颌关节</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s7108 </w:t>
            </w:r>
            <w:r>
              <w:rPr>
                <w:color w:val="000000" w:themeColor="text1"/>
                <w:sz w:val="18"/>
                <w:highlight w:val="none"/>
                <w14:textFill>
                  <w14:solidFill>
                    <w14:schemeClr w14:val="tx1"/>
                  </w14:solidFill>
                </w14:textFill>
              </w:rPr>
              <w:t>特指面部软组织</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s7201 </w:t>
            </w:r>
            <w:r>
              <w:rPr>
                <w:color w:val="000000" w:themeColor="text1"/>
                <w:sz w:val="18"/>
                <w:highlight w:val="none"/>
                <w14:textFill>
                  <w14:solidFill>
                    <w14:schemeClr w14:val="tx1"/>
                  </w14:solidFill>
                </w14:textFill>
              </w:rPr>
              <w:t>肩部关节</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上肢的结构</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s73001</w:t>
            </w:r>
            <w:r>
              <w:rPr>
                <w:rFonts w:ascii="Times New Roman" w:eastAsia="Times New Roman"/>
                <w:color w:val="000000" w:themeColor="text1"/>
                <w:spacing w:val="-2"/>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上臂关节</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s73008A</w:t>
            </w:r>
            <w:r>
              <w:rPr>
                <w:rFonts w:ascii="Times New Roman" w:eastAsia="Times New Roman"/>
                <w:color w:val="000000" w:themeColor="text1"/>
                <w:spacing w:val="-2"/>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肱骨骺板</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s73008B</w:t>
            </w:r>
            <w:r>
              <w:rPr>
                <w:rFonts w:ascii="Times New Roman" w:eastAsia="Times New Roman"/>
                <w:color w:val="000000" w:themeColor="text1"/>
                <w:spacing w:val="-2"/>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尺骨骺板</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s73008C</w:t>
            </w:r>
            <w:r>
              <w:rPr>
                <w:rFonts w:ascii="Times New Roman" w:eastAsia="Times New Roman"/>
                <w:color w:val="000000" w:themeColor="text1"/>
                <w:spacing w:val="-2"/>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桡骨骺板</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s73011 </w:t>
            </w:r>
            <w:r>
              <w:rPr>
                <w:color w:val="000000" w:themeColor="text1"/>
                <w:sz w:val="18"/>
                <w:highlight w:val="none"/>
                <w14:textFill>
                  <w14:solidFill>
                    <w14:schemeClr w14:val="tx1"/>
                  </w14:solidFill>
                </w14:textFill>
              </w:rPr>
              <w:t>前臂关节</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s7302 </w:t>
            </w:r>
            <w:r>
              <w:rPr>
                <w:color w:val="000000" w:themeColor="text1"/>
                <w:sz w:val="18"/>
                <w:highlight w:val="none"/>
                <w14:textFill>
                  <w14:solidFill>
                    <w14:schemeClr w14:val="tx1"/>
                  </w14:solidFill>
                </w14:textFill>
              </w:rPr>
              <w:t>手的结构</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s7400 </w:t>
            </w:r>
            <w:r>
              <w:rPr>
                <w:color w:val="000000" w:themeColor="text1"/>
                <w:sz w:val="18"/>
                <w:highlight w:val="none"/>
                <w14:textFill>
                  <w14:solidFill>
                    <w14:schemeClr w14:val="tx1"/>
                  </w14:solidFill>
                </w14:textFill>
              </w:rPr>
              <w:t>骨盆部骨</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s750</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下肢的结构</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s75001</w:t>
            </w:r>
            <w:r>
              <w:rPr>
                <w:rFonts w:ascii="Times New Roman" w:eastAsia="Times New Roman"/>
                <w:color w:val="000000" w:themeColor="text1"/>
                <w:spacing w:val="-2"/>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大腿关节</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s75008A</w:t>
            </w:r>
            <w:r>
              <w:rPr>
                <w:rFonts w:ascii="Times New Roman" w:eastAsia="Times New Roman"/>
                <w:color w:val="000000" w:themeColor="text1"/>
                <w:spacing w:val="-2"/>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股骨骺板</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s75008B</w:t>
            </w:r>
            <w:r>
              <w:rPr>
                <w:rFonts w:ascii="Times New Roman" w:eastAsia="Times New Roman"/>
                <w:color w:val="000000" w:themeColor="text1"/>
                <w:spacing w:val="-2"/>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胫骨骺板</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s75008C</w:t>
            </w:r>
            <w:r>
              <w:rPr>
                <w:rFonts w:ascii="Times New Roman" w:eastAsia="Times New Roman"/>
                <w:color w:val="000000" w:themeColor="text1"/>
                <w:spacing w:val="-2"/>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腓骨骺板</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s75011 </w:t>
            </w:r>
            <w:r>
              <w:rPr>
                <w:color w:val="000000" w:themeColor="text1"/>
                <w:sz w:val="18"/>
                <w:highlight w:val="none"/>
                <w14:textFill>
                  <w14:solidFill>
                    <w14:schemeClr w14:val="tx1"/>
                  </w14:solidFill>
                </w14:textFill>
              </w:rPr>
              <w:t>小腿关节</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s75020A </w:t>
            </w:r>
            <w:r>
              <w:rPr>
                <w:color w:val="000000" w:themeColor="text1"/>
                <w:sz w:val="18"/>
                <w:highlight w:val="none"/>
                <w14:textFill>
                  <w14:solidFill>
                    <w14:schemeClr w14:val="tx1"/>
                  </w14:solidFill>
                </w14:textFill>
              </w:rPr>
              <w:t>全部足趾</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s75021 </w:t>
            </w:r>
            <w:r>
              <w:rPr>
                <w:color w:val="000000" w:themeColor="text1"/>
                <w:sz w:val="18"/>
                <w:highlight w:val="none"/>
                <w14:textFill>
                  <w14:solidFill>
                    <w14:schemeClr w14:val="tx1"/>
                  </w14:solidFill>
                </w14:textFill>
              </w:rPr>
              <w:t>踝关节</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s75021A </w:t>
            </w:r>
            <w:r>
              <w:rPr>
                <w:color w:val="000000" w:themeColor="text1"/>
                <w:sz w:val="18"/>
                <w:highlight w:val="none"/>
                <w14:textFill>
                  <w14:solidFill>
                    <w14:schemeClr w14:val="tx1"/>
                  </w14:solidFill>
                </w14:textFill>
              </w:rPr>
              <w:t>跗跖关节</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s75028A </w:t>
            </w:r>
            <w:r>
              <w:rPr>
                <w:color w:val="000000" w:themeColor="text1"/>
                <w:sz w:val="18"/>
                <w:highlight w:val="none"/>
                <w14:textFill>
                  <w14:solidFill>
                    <w14:schemeClr w14:val="tx1"/>
                  </w14:solidFill>
                </w14:textFill>
              </w:rPr>
              <w:t>足弓</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s760 </w:t>
            </w:r>
            <w:r>
              <w:rPr>
                <w:color w:val="000000" w:themeColor="text1"/>
                <w:sz w:val="18"/>
                <w:highlight w:val="none"/>
                <w14:textFill>
                  <w14:solidFill>
                    <w14:schemeClr w14:val="tx1"/>
                  </w14:solidFill>
                </w14:textFill>
              </w:rPr>
              <w:t>躯干的结构</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s76000</w:t>
            </w:r>
            <w:r>
              <w:rPr>
                <w:rFonts w:ascii="Times New Roman" w:eastAsia="Times New Roman"/>
                <w:color w:val="000000" w:themeColor="text1"/>
                <w:spacing w:val="-2"/>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颈椎</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s76002</w:t>
            </w:r>
            <w:r>
              <w:rPr>
                <w:rFonts w:ascii="Times New Roman" w:eastAsia="Times New Roman"/>
                <w:color w:val="000000" w:themeColor="text1"/>
                <w:spacing w:val="-2"/>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腰椎</w:t>
            </w:r>
          </w:p>
          <w:p>
            <w:pPr>
              <w:pStyle w:val="24"/>
              <w:spacing w:before="10" w:line="208" w:lineRule="exact"/>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s7701A</w:t>
            </w:r>
            <w:r>
              <w:rPr>
                <w:rFonts w:ascii="Times New Roman" w:eastAsia="Times New Roman"/>
                <w:color w:val="000000" w:themeColor="text1"/>
                <w:spacing w:val="-3"/>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髋臼</w:t>
            </w:r>
          </w:p>
        </w:tc>
        <w:tc>
          <w:tcPr>
            <w:tcW w:w="1255" w:type="dxa"/>
            <w:vAlign w:val="top"/>
          </w:tcPr>
          <w:p>
            <w:pPr>
              <w:pStyle w:val="24"/>
              <w:spacing w:before="12" w:line="249" w:lineRule="auto"/>
              <w:ind w:left="111" w:right="78"/>
              <w:jc w:val="both"/>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b7 </w:t>
            </w:r>
            <w:r>
              <w:rPr>
                <w:color w:val="000000" w:themeColor="text1"/>
                <w:sz w:val="18"/>
                <w:highlight w:val="none"/>
                <w14:textFill>
                  <w14:solidFill>
                    <w14:schemeClr w14:val="tx1"/>
                  </w14:solidFill>
                </w14:textFill>
              </w:rPr>
              <w:t>神经肌肉骨骼和运动有关的</w:t>
            </w:r>
          </w:p>
        </w:tc>
        <w:tc>
          <w:tcPr>
            <w:tcW w:w="2742" w:type="dxa"/>
            <w:vAlign w:val="top"/>
          </w:tcPr>
          <w:p>
            <w:pPr>
              <w:pStyle w:val="24"/>
              <w:spacing w:before="12"/>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b710 </w:t>
            </w:r>
            <w:r>
              <w:rPr>
                <w:color w:val="000000" w:themeColor="text1"/>
                <w:sz w:val="18"/>
                <w:highlight w:val="none"/>
                <w14:textFill>
                  <w14:solidFill>
                    <w14:schemeClr w14:val="tx1"/>
                  </w14:solidFill>
                </w14:textFill>
              </w:rPr>
              <w:t>关节活动功能</w:t>
            </w:r>
          </w:p>
          <w:p>
            <w:pPr>
              <w:pStyle w:val="24"/>
              <w:spacing w:before="9"/>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b7100 </w:t>
            </w:r>
            <w:r>
              <w:rPr>
                <w:color w:val="000000" w:themeColor="text1"/>
                <w:sz w:val="18"/>
                <w:highlight w:val="none"/>
                <w14:textFill>
                  <w14:solidFill>
                    <w14:schemeClr w14:val="tx1"/>
                  </w14:solidFill>
                </w14:textFill>
              </w:rPr>
              <w:t>单关节的活动</w:t>
            </w:r>
          </w:p>
          <w:p>
            <w:pPr>
              <w:pStyle w:val="24"/>
              <w:spacing w:before="9"/>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b7101 </w:t>
            </w:r>
            <w:r>
              <w:rPr>
                <w:color w:val="000000" w:themeColor="text1"/>
                <w:sz w:val="18"/>
                <w:highlight w:val="none"/>
                <w14:textFill>
                  <w14:solidFill>
                    <w14:schemeClr w14:val="tx1"/>
                  </w14:solidFill>
                </w14:textFill>
              </w:rPr>
              <w:t>多关节的活动</w:t>
            </w:r>
          </w:p>
          <w:p>
            <w:pPr>
              <w:pStyle w:val="24"/>
              <w:spacing w:before="10"/>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b7301 </w:t>
            </w:r>
            <w:r>
              <w:rPr>
                <w:color w:val="000000" w:themeColor="text1"/>
                <w:sz w:val="18"/>
                <w:highlight w:val="none"/>
                <w14:textFill>
                  <w14:solidFill>
                    <w14:schemeClr w14:val="tx1"/>
                  </w14:solidFill>
                </w14:textFill>
              </w:rPr>
              <w:t>单肢体肌肉的力量</w:t>
            </w:r>
          </w:p>
          <w:p>
            <w:pPr>
              <w:pStyle w:val="24"/>
              <w:spacing w:before="9"/>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b7302 </w:t>
            </w:r>
            <w:r>
              <w:rPr>
                <w:color w:val="000000" w:themeColor="text1"/>
                <w:sz w:val="18"/>
                <w:highlight w:val="none"/>
                <w14:textFill>
                  <w14:solidFill>
                    <w14:schemeClr w14:val="tx1"/>
                  </w14:solidFill>
                </w14:textFill>
              </w:rPr>
              <w:t>单侧身体肌肉的力量</w:t>
            </w:r>
          </w:p>
          <w:p>
            <w:pPr>
              <w:pStyle w:val="24"/>
              <w:spacing w:before="9"/>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b7303 </w:t>
            </w:r>
            <w:r>
              <w:rPr>
                <w:color w:val="000000" w:themeColor="text1"/>
                <w:sz w:val="18"/>
                <w:highlight w:val="none"/>
                <w14:textFill>
                  <w14:solidFill>
                    <w14:schemeClr w14:val="tx1"/>
                  </w14:solidFill>
                </w14:textFill>
              </w:rPr>
              <w:t>下半身肌肉的力量</w:t>
            </w:r>
          </w:p>
          <w:p>
            <w:pPr>
              <w:pStyle w:val="24"/>
              <w:spacing w:before="10"/>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b7304 </w:t>
            </w:r>
            <w:r>
              <w:rPr>
                <w:color w:val="000000" w:themeColor="text1"/>
                <w:sz w:val="18"/>
                <w:highlight w:val="none"/>
                <w14:textFill>
                  <w14:solidFill>
                    <w14:schemeClr w14:val="tx1"/>
                  </w14:solidFill>
                </w14:textFill>
              </w:rPr>
              <w:t>四肢肌肉的力量</w:t>
            </w:r>
          </w:p>
          <w:p>
            <w:pPr>
              <w:pStyle w:val="24"/>
              <w:spacing w:before="9"/>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b760 </w:t>
            </w:r>
            <w:r>
              <w:rPr>
                <w:color w:val="000000" w:themeColor="text1"/>
                <w:sz w:val="18"/>
                <w:highlight w:val="none"/>
                <w14:textFill>
                  <w14:solidFill>
                    <w14:schemeClr w14:val="tx1"/>
                  </w14:solidFill>
                </w14:textFill>
              </w:rPr>
              <w:t>随意运动控制功能</w:t>
            </w:r>
          </w:p>
          <w:p>
            <w:pPr>
              <w:pStyle w:val="24"/>
              <w:spacing w:before="10"/>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b7653 </w:t>
            </w:r>
            <w:r>
              <w:rPr>
                <w:color w:val="000000" w:themeColor="text1"/>
                <w:sz w:val="18"/>
                <w:highlight w:val="none"/>
                <w14:textFill>
                  <w14:solidFill>
                    <w14:schemeClr w14:val="tx1"/>
                  </w14:solidFill>
                </w14:textFill>
              </w:rPr>
              <w:t>刻板运动和运动持续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1214" w:type="dxa"/>
            <w:vAlign w:val="top"/>
          </w:tcPr>
          <w:p>
            <w:pPr>
              <w:pStyle w:val="24"/>
              <w:spacing w:line="249" w:lineRule="auto"/>
              <w:ind w:right="74"/>
              <w:jc w:val="both"/>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皮肤和有关的结构和功能</w:t>
            </w:r>
          </w:p>
        </w:tc>
        <w:tc>
          <w:tcPr>
            <w:tcW w:w="1534" w:type="dxa"/>
            <w:vAlign w:val="top"/>
          </w:tcPr>
          <w:p>
            <w:pPr>
              <w:pStyle w:val="24"/>
              <w:spacing w:line="249" w:lineRule="auto"/>
              <w:ind w:left="108" w:right="6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s8 </w:t>
            </w:r>
            <w:r>
              <w:rPr>
                <w:color w:val="000000" w:themeColor="text1"/>
                <w:sz w:val="18"/>
                <w:highlight w:val="none"/>
                <w14:textFill>
                  <w14:solidFill>
                    <w14:schemeClr w14:val="tx1"/>
                  </w14:solidFill>
                </w14:textFill>
              </w:rPr>
              <w:t>皮肤和有关结构</w:t>
            </w:r>
          </w:p>
        </w:tc>
        <w:tc>
          <w:tcPr>
            <w:tcW w:w="2827" w:type="dxa"/>
            <w:vAlign w:val="top"/>
          </w:tcPr>
          <w:p>
            <w:pPr>
              <w:pStyle w:val="24"/>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s810 </w:t>
            </w:r>
            <w:r>
              <w:rPr>
                <w:color w:val="000000" w:themeColor="text1"/>
                <w:sz w:val="18"/>
                <w:highlight w:val="none"/>
                <w14:textFill>
                  <w14:solidFill>
                    <w14:schemeClr w14:val="tx1"/>
                  </w14:solidFill>
                </w14:textFill>
              </w:rPr>
              <w:t>各部位皮肤的结构</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s8100 </w:t>
            </w:r>
            <w:r>
              <w:rPr>
                <w:color w:val="000000" w:themeColor="text1"/>
                <w:sz w:val="18"/>
                <w:highlight w:val="none"/>
                <w14:textFill>
                  <w14:solidFill>
                    <w14:schemeClr w14:val="tx1"/>
                  </w14:solidFill>
                </w14:textFill>
              </w:rPr>
              <w:t>头颈部的皮肤</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s8100A </w:t>
            </w:r>
            <w:r>
              <w:rPr>
                <w:color w:val="000000" w:themeColor="text1"/>
                <w:sz w:val="18"/>
                <w:highlight w:val="none"/>
                <w14:textFill>
                  <w14:solidFill>
                    <w14:schemeClr w14:val="tx1"/>
                  </w14:solidFill>
                </w14:textFill>
              </w:rPr>
              <w:t>头皮</w:t>
            </w:r>
          </w:p>
          <w:p>
            <w:pPr>
              <w:pStyle w:val="24"/>
              <w:spacing w:before="10"/>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s8100B </w:t>
            </w:r>
            <w:r>
              <w:rPr>
                <w:color w:val="000000" w:themeColor="text1"/>
                <w:sz w:val="18"/>
                <w:highlight w:val="none"/>
                <w14:textFill>
                  <w14:solidFill>
                    <w14:schemeClr w14:val="tx1"/>
                  </w14:solidFill>
                </w14:textFill>
              </w:rPr>
              <w:t>面部皮肤</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s8102 </w:t>
            </w:r>
            <w:r>
              <w:rPr>
                <w:color w:val="000000" w:themeColor="text1"/>
                <w:sz w:val="18"/>
                <w:highlight w:val="none"/>
                <w14:textFill>
                  <w14:solidFill>
                    <w14:schemeClr w14:val="tx1"/>
                  </w14:solidFill>
                </w14:textFill>
              </w:rPr>
              <w:t>上肢皮肤</w:t>
            </w:r>
          </w:p>
          <w:p>
            <w:pPr>
              <w:pStyle w:val="24"/>
              <w:spacing w:before="9"/>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s8104 </w:t>
            </w:r>
            <w:r>
              <w:rPr>
                <w:color w:val="000000" w:themeColor="text1"/>
                <w:sz w:val="18"/>
                <w:highlight w:val="none"/>
                <w14:textFill>
                  <w14:solidFill>
                    <w14:schemeClr w14:val="tx1"/>
                  </w14:solidFill>
                </w14:textFill>
              </w:rPr>
              <w:t>下肢皮肤</w:t>
            </w:r>
          </w:p>
          <w:p>
            <w:pPr>
              <w:pStyle w:val="24"/>
              <w:spacing w:before="10" w:line="210" w:lineRule="exact"/>
              <w:ind w:left="108"/>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s8105 </w:t>
            </w:r>
            <w:r>
              <w:rPr>
                <w:color w:val="000000" w:themeColor="text1"/>
                <w:sz w:val="18"/>
                <w:highlight w:val="none"/>
                <w14:textFill>
                  <w14:solidFill>
                    <w14:schemeClr w14:val="tx1"/>
                  </w14:solidFill>
                </w14:textFill>
              </w:rPr>
              <w:t>躯干和背部皮肤</w:t>
            </w:r>
          </w:p>
        </w:tc>
        <w:tc>
          <w:tcPr>
            <w:tcW w:w="1255" w:type="dxa"/>
            <w:vAlign w:val="top"/>
          </w:tcPr>
          <w:p>
            <w:pPr>
              <w:pStyle w:val="24"/>
              <w:spacing w:line="249" w:lineRule="auto"/>
              <w:ind w:left="111" w:right="78"/>
              <w:jc w:val="both"/>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b8 </w:t>
            </w:r>
            <w:r>
              <w:rPr>
                <w:color w:val="000000" w:themeColor="text1"/>
                <w:sz w:val="18"/>
                <w:highlight w:val="none"/>
                <w14:textFill>
                  <w14:solidFill>
                    <w14:schemeClr w14:val="tx1"/>
                  </w14:solidFill>
                </w14:textFill>
              </w:rPr>
              <w:t>皮肤和有关结构的功能</w:t>
            </w:r>
          </w:p>
        </w:tc>
        <w:tc>
          <w:tcPr>
            <w:tcW w:w="2742" w:type="dxa"/>
            <w:vAlign w:val="top"/>
          </w:tcPr>
          <w:p>
            <w:pPr>
              <w:pStyle w:val="24"/>
              <w:ind w:left="10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b820 </w:t>
            </w:r>
            <w:r>
              <w:rPr>
                <w:color w:val="000000" w:themeColor="text1"/>
                <w:sz w:val="18"/>
                <w:highlight w:val="none"/>
                <w14:textFill>
                  <w14:solidFill>
                    <w14:schemeClr w14:val="tx1"/>
                  </w14:solidFill>
                </w14:textFill>
              </w:rPr>
              <w:t>皮肤的修复功能</w:t>
            </w:r>
          </w:p>
        </w:tc>
      </w:tr>
    </w:tbl>
    <w:p>
      <w:pPr>
        <w:pStyle w:val="8"/>
        <w:spacing w:before="1"/>
        <w:rPr>
          <w:rFonts w:ascii="Times New Roman"/>
          <w:color w:val="000000" w:themeColor="text1"/>
          <w:sz w:val="23"/>
          <w:highlight w:val="none"/>
          <w14:textFill>
            <w14:solidFill>
              <w14:schemeClr w14:val="tx1"/>
            </w14:solidFill>
          </w14:textFill>
        </w:rPr>
      </w:pPr>
    </w:p>
    <w:p>
      <w:pPr>
        <w:pStyle w:val="20"/>
        <w:numPr>
          <w:ilvl w:val="1"/>
          <w:numId w:val="11"/>
        </w:numPr>
        <w:tabs>
          <w:tab w:val="left" w:pos="1127"/>
          <w:tab w:val="left" w:pos="1128"/>
        </w:tabs>
        <w:autoSpaceDE w:val="0"/>
        <w:autoSpaceDN w:val="0"/>
        <w:spacing w:before="71" w:after="0"/>
        <w:ind w:left="1127" w:hanging="631"/>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编码和限定值的含义</w:t>
      </w:r>
    </w:p>
    <w:p>
      <w:pPr>
        <w:pStyle w:val="8"/>
        <w:spacing w:before="7"/>
        <w:rPr>
          <w:rFonts w:ascii="黑体"/>
          <w:color w:val="000000" w:themeColor="text1"/>
          <w:sz w:val="27"/>
          <w:highlight w:val="none"/>
          <w14:textFill>
            <w14:solidFill>
              <w14:schemeClr w14:val="tx1"/>
            </w14:solidFill>
          </w14:textFill>
        </w:rPr>
      </w:pPr>
    </w:p>
    <w:p>
      <w:pPr>
        <w:pStyle w:val="20"/>
        <w:numPr>
          <w:ilvl w:val="2"/>
          <w:numId w:val="16"/>
        </w:numPr>
        <w:tabs>
          <w:tab w:val="left" w:pos="1234"/>
        </w:tabs>
        <w:autoSpaceDE w:val="0"/>
        <w:autoSpaceDN w:val="0"/>
        <w:spacing w:after="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身体功能的编码</w:t>
      </w:r>
    </w:p>
    <w:p>
      <w:pPr>
        <w:pStyle w:val="8"/>
        <w:spacing w:before="7"/>
        <w:rPr>
          <w:rFonts w:ascii="黑体"/>
          <w:color w:val="000000" w:themeColor="text1"/>
          <w:sz w:val="15"/>
          <w:highlight w:val="none"/>
          <w14:textFill>
            <w14:solidFill>
              <w14:schemeClr w14:val="tx1"/>
            </w14:solidFill>
          </w14:textFill>
        </w:rPr>
      </w:pPr>
    </w:p>
    <w:p>
      <w:pPr>
        <w:pStyle w:val="8"/>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身体功能是身体各系统的生理功能。</w:t>
      </w:r>
    </w:p>
    <w:p>
      <w:pPr>
        <w:pStyle w:val="8"/>
        <w:spacing w:before="7"/>
        <w:rPr>
          <w:color w:val="000000" w:themeColor="text1"/>
          <w:sz w:val="15"/>
          <w:highlight w:val="none"/>
          <w14:textFill>
            <w14:solidFill>
              <w14:schemeClr w14:val="tx1"/>
            </w14:solidFill>
          </w14:textFill>
        </w:rPr>
      </w:pPr>
    </w:p>
    <w:p>
      <w:pPr>
        <w:pStyle w:val="20"/>
        <w:numPr>
          <w:ilvl w:val="3"/>
          <w:numId w:val="16"/>
        </w:numPr>
        <w:tabs>
          <w:tab w:val="left" w:pos="1442"/>
        </w:tabs>
        <w:autoSpaceDE w:val="0"/>
        <w:autoSpaceDN w:val="0"/>
        <w:spacing w:after="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身体功能的限定值</w:t>
      </w:r>
    </w:p>
    <w:p>
      <w:pPr>
        <w:pStyle w:val="8"/>
        <w:spacing w:before="7"/>
        <w:rPr>
          <w:rFonts w:ascii="黑体"/>
          <w:color w:val="000000" w:themeColor="text1"/>
          <w:sz w:val="15"/>
          <w:highlight w:val="none"/>
          <w14:textFill>
            <w14:solidFill>
              <w14:schemeClr w14:val="tx1"/>
            </w14:solidFill>
          </w14:textFill>
        </w:rPr>
      </w:pPr>
    </w:p>
    <w:p>
      <w:pPr>
        <w:pStyle w:val="8"/>
        <w:spacing w:line="278" w:lineRule="auto"/>
        <w:ind w:left="496" w:right="426" w:firstLine="420"/>
        <w:jc w:val="both"/>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身体功能编码部分用两位限定值显示身体功能损伤的范围或幅度。一级限定值说明损伤的范围，一</w:t>
      </w:r>
      <w:r>
        <w:rPr>
          <w:color w:val="000000" w:themeColor="text1"/>
          <w:spacing w:val="-11"/>
          <w:highlight w:val="none"/>
          <w14:textFill>
            <w14:solidFill>
              <w14:schemeClr w14:val="tx1"/>
            </w14:solidFill>
          </w14:textFill>
        </w:rPr>
        <w:t>种损伤可以描述为丧失或缺乏、降低、附加、超过或者偏差。在一级限定值说明不充分的情况下，使用二级限定值细化说明损伤的程度或者部位。身体功能的限定值并不是两位全部使用，编码形式有且只有</w:t>
      </w:r>
      <w:r>
        <w:rPr>
          <w:color w:val="000000" w:themeColor="text1"/>
          <w:spacing w:val="-6"/>
          <w:highlight w:val="none"/>
          <w14:textFill>
            <w14:solidFill>
              <w14:schemeClr w14:val="tx1"/>
            </w14:solidFill>
          </w14:textFill>
        </w:rPr>
        <w:t>下列两种：</w:t>
      </w:r>
    </w:p>
    <w:p>
      <w:pPr>
        <w:pStyle w:val="8"/>
        <w:spacing w:before="59"/>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身体结构的类目编码+一级限定值</w:t>
      </w:r>
    </w:p>
    <w:p>
      <w:pPr>
        <w:pStyle w:val="8"/>
        <w:spacing w:before="103"/>
        <w:ind w:left="91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身体结构的类目编码+一级限定值+二级限定值</w:t>
      </w:r>
    </w:p>
    <w:p>
      <w:pPr>
        <w:rPr>
          <w:color w:val="000000" w:themeColor="text1"/>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7"/>
        <w:rPr>
          <w:color w:val="000000" w:themeColor="text1"/>
          <w:sz w:val="14"/>
          <w:highlight w:val="none"/>
          <w14:textFill>
            <w14:solidFill>
              <w14:schemeClr w14:val="tx1"/>
            </w14:solidFill>
          </w14:textFill>
        </w:rPr>
      </w:pPr>
    </w:p>
    <w:p>
      <w:pPr>
        <w:pStyle w:val="8"/>
        <w:spacing w:before="72"/>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例如某人的智力缺损可以编码为 b117“智力功能”。</w:t>
      </w:r>
    </w:p>
    <w:p>
      <w:pPr>
        <w:pStyle w:val="8"/>
        <w:spacing w:before="43"/>
        <w:ind w:right="78"/>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图 A1</w:t>
      </w:r>
    </w:p>
    <w:p>
      <w:pPr>
        <w:pStyle w:val="8"/>
        <w:rPr>
          <w:rFonts w:ascii="黑体"/>
          <w:color w:val="000000" w:themeColor="text1"/>
          <w:sz w:val="20"/>
          <w:highlight w:val="none"/>
          <w14:textFill>
            <w14:solidFill>
              <w14:schemeClr w14:val="tx1"/>
            </w14:solidFill>
          </w14:textFill>
        </w:rPr>
      </w:pPr>
    </w:p>
    <w:p>
      <w:pPr>
        <w:pStyle w:val="8"/>
        <w:rPr>
          <w:rFonts w:ascii="黑体"/>
          <w:color w:val="000000" w:themeColor="text1"/>
          <w:sz w:val="20"/>
          <w:highlight w:val="none"/>
          <w14:textFill>
            <w14:solidFill>
              <w14:schemeClr w14:val="tx1"/>
            </w14:solidFill>
          </w14:textFill>
        </w:rPr>
      </w:pPr>
    </w:p>
    <w:p>
      <w:pPr>
        <w:pStyle w:val="8"/>
        <w:spacing w:before="2"/>
        <w:rPr>
          <w:rFonts w:ascii="黑体"/>
          <w:color w:val="000000" w:themeColor="text1"/>
          <w:sz w:val="14"/>
          <w:highlight w:val="none"/>
          <w14:textFill>
            <w14:solidFill>
              <w14:schemeClr w14:val="tx1"/>
            </w14:solidFill>
          </w14:textFill>
        </w:rPr>
      </w:pPr>
    </w:p>
    <w:p>
      <w:pPr>
        <w:spacing w:before="75"/>
        <w:ind w:right="1311"/>
        <w:jc w:val="center"/>
        <w:rPr>
          <w:rFonts w:hint="eastAsia" w:eastAsia="宋体"/>
          <w:color w:val="000000" w:themeColor="text1"/>
          <w:sz w:val="18"/>
          <w:highlight w:val="none"/>
          <w:lang w:eastAsia="zh-CN"/>
          <w14:textFill>
            <w14:solidFill>
              <w14:schemeClr w14:val="tx1"/>
            </w14:solidFill>
          </w14:textFill>
        </w:rPr>
      </w:pPr>
      <w:r>
        <w:rPr>
          <w:color w:val="000000" w:themeColor="text1"/>
          <w:sz w:val="22"/>
          <w:highlight w:val="none"/>
          <w14:textFill>
            <w14:solidFill>
              <w14:schemeClr w14:val="tx1"/>
            </w14:solidFill>
          </w14:textFill>
        </w:rPr>
        <mc:AlternateContent>
          <mc:Choice Requires="wpg">
            <w:drawing>
              <wp:anchor distT="0" distB="0" distL="114300" distR="114300" simplePos="0" relativeHeight="251662336" behindDoc="1" locked="0" layoutInCell="1" allowOverlap="1">
                <wp:simplePos x="0" y="0"/>
                <wp:positionH relativeFrom="page">
                  <wp:posOffset>1329055</wp:posOffset>
                </wp:positionH>
                <wp:positionV relativeFrom="paragraph">
                  <wp:posOffset>123190</wp:posOffset>
                </wp:positionV>
                <wp:extent cx="1141730" cy="599440"/>
                <wp:effectExtent l="0" t="4445" r="1270" b="5715"/>
                <wp:wrapNone/>
                <wp:docPr id="94" name="组合 94"/>
                <wp:cNvGraphicFramePr/>
                <a:graphic xmlns:a="http://schemas.openxmlformats.org/drawingml/2006/main">
                  <a:graphicData uri="http://schemas.microsoft.com/office/word/2010/wordprocessingGroup">
                    <wpg:wgp>
                      <wpg:cNvGrpSpPr/>
                      <wpg:grpSpPr>
                        <a:xfrm>
                          <a:off x="0" y="0"/>
                          <a:ext cx="1141730" cy="599440"/>
                          <a:chOff x="0" y="0"/>
                          <a:chExt cx="1798" cy="944"/>
                        </a:xfrm>
                      </wpg:grpSpPr>
                      <wps:wsp>
                        <wps:cNvPr id="90" name="直接连接符 90"/>
                        <wps:cNvCnPr/>
                        <wps:spPr>
                          <a:xfrm>
                            <a:off x="70" y="0"/>
                            <a:ext cx="1728" cy="0"/>
                          </a:xfrm>
                          <a:prstGeom prst="line">
                            <a:avLst/>
                          </a:prstGeom>
                          <a:ln w="9525" cap="flat" cmpd="sng">
                            <a:solidFill>
                              <a:srgbClr val="000000"/>
                            </a:solidFill>
                            <a:prstDash val="solid"/>
                            <a:headEnd type="none" w="med" len="med"/>
                            <a:tailEnd type="none" w="med" len="med"/>
                          </a:ln>
                        </wps:spPr>
                        <wps:bodyPr upright="1"/>
                      </wps:wsp>
                      <wps:wsp>
                        <wps:cNvPr id="91" name="任意多边形 91"/>
                        <wps:cNvSpPr/>
                        <wps:spPr>
                          <a:xfrm>
                            <a:off x="0" y="6"/>
                            <a:ext cx="120" cy="938"/>
                          </a:xfrm>
                          <a:custGeom>
                            <a:avLst/>
                            <a:gdLst>
                              <a:gd name="A1" fmla="val 0"/>
                              <a:gd name="A2" fmla="val 0"/>
                              <a:gd name="txL" fmla="*/ 0 w 120"/>
                              <a:gd name="txT" fmla="*/ 0 h 930"/>
                              <a:gd name="txR" fmla="*/ 120 w 120"/>
                              <a:gd name="txB" fmla="*/ 930 h 930"/>
                            </a:gdLst>
                            <a:ahLst/>
                            <a:cxnLst/>
                            <a:rect l="txL" t="txT" r="txR" b="txB"/>
                            <a:pathLst>
                              <a:path w="120" h="930">
                                <a:moveTo>
                                  <a:pt x="50" y="810"/>
                                </a:moveTo>
                                <a:lnTo>
                                  <a:pt x="0" y="810"/>
                                </a:lnTo>
                                <a:lnTo>
                                  <a:pt x="60" y="930"/>
                                </a:lnTo>
                                <a:lnTo>
                                  <a:pt x="105" y="840"/>
                                </a:lnTo>
                                <a:lnTo>
                                  <a:pt x="54" y="840"/>
                                </a:lnTo>
                                <a:lnTo>
                                  <a:pt x="50" y="836"/>
                                </a:lnTo>
                                <a:lnTo>
                                  <a:pt x="50" y="810"/>
                                </a:lnTo>
                                <a:close/>
                                <a:moveTo>
                                  <a:pt x="66" y="0"/>
                                </a:moveTo>
                                <a:lnTo>
                                  <a:pt x="54" y="0"/>
                                </a:lnTo>
                                <a:lnTo>
                                  <a:pt x="50" y="5"/>
                                </a:lnTo>
                                <a:lnTo>
                                  <a:pt x="50" y="836"/>
                                </a:lnTo>
                                <a:lnTo>
                                  <a:pt x="54" y="840"/>
                                </a:lnTo>
                                <a:lnTo>
                                  <a:pt x="66" y="840"/>
                                </a:lnTo>
                                <a:lnTo>
                                  <a:pt x="70" y="836"/>
                                </a:lnTo>
                                <a:lnTo>
                                  <a:pt x="70" y="5"/>
                                </a:lnTo>
                                <a:lnTo>
                                  <a:pt x="66" y="0"/>
                                </a:lnTo>
                                <a:close/>
                                <a:moveTo>
                                  <a:pt x="120" y="810"/>
                                </a:moveTo>
                                <a:lnTo>
                                  <a:pt x="70" y="810"/>
                                </a:lnTo>
                                <a:lnTo>
                                  <a:pt x="70" y="836"/>
                                </a:lnTo>
                                <a:lnTo>
                                  <a:pt x="66" y="840"/>
                                </a:lnTo>
                                <a:lnTo>
                                  <a:pt x="105" y="840"/>
                                </a:lnTo>
                                <a:lnTo>
                                  <a:pt x="120" y="810"/>
                                </a:lnTo>
                                <a:close/>
                              </a:path>
                            </a:pathLst>
                          </a:custGeom>
                          <a:solidFill>
                            <a:srgbClr val="000000"/>
                          </a:solidFill>
                          <a:ln w="9525">
                            <a:noFill/>
                          </a:ln>
                        </wps:spPr>
                        <wps:bodyPr upright="1"/>
                      </wps:wsp>
                      <wps:wsp>
                        <wps:cNvPr id="92" name="直接连接符 92"/>
                        <wps:cNvCnPr/>
                        <wps:spPr>
                          <a:xfrm>
                            <a:off x="348" y="342"/>
                            <a:ext cx="1440" cy="0"/>
                          </a:xfrm>
                          <a:prstGeom prst="line">
                            <a:avLst/>
                          </a:prstGeom>
                          <a:ln w="9525" cap="flat" cmpd="sng">
                            <a:solidFill>
                              <a:srgbClr val="000000"/>
                            </a:solidFill>
                            <a:prstDash val="solid"/>
                            <a:headEnd type="none" w="med" len="med"/>
                            <a:tailEnd type="none" w="med" len="med"/>
                          </a:ln>
                        </wps:spPr>
                        <wps:bodyPr upright="1"/>
                      </wps:wsp>
                      <wps:wsp>
                        <wps:cNvPr id="93" name="任意多边形 93"/>
                        <wps:cNvSpPr/>
                        <wps:spPr>
                          <a:xfrm>
                            <a:off x="285" y="339"/>
                            <a:ext cx="120" cy="597"/>
                          </a:xfrm>
                          <a:custGeom>
                            <a:avLst/>
                            <a:gdLst>
                              <a:gd name="A1" fmla="val 0"/>
                              <a:gd name="A2" fmla="val 0"/>
                              <a:gd name="txL" fmla="*/ 0 w 120"/>
                              <a:gd name="txT" fmla="*/ 0 h 592"/>
                              <a:gd name="txR" fmla="*/ 120 w 120"/>
                              <a:gd name="txB" fmla="*/ 592 h 592"/>
                            </a:gdLst>
                            <a:ahLst/>
                            <a:cxnLst/>
                            <a:rect l="txL" t="txT" r="txR" b="txB"/>
                            <a:pathLst>
                              <a:path w="120" h="592">
                                <a:moveTo>
                                  <a:pt x="50" y="472"/>
                                </a:moveTo>
                                <a:lnTo>
                                  <a:pt x="0" y="472"/>
                                </a:lnTo>
                                <a:lnTo>
                                  <a:pt x="60" y="592"/>
                                </a:lnTo>
                                <a:lnTo>
                                  <a:pt x="105" y="502"/>
                                </a:lnTo>
                                <a:lnTo>
                                  <a:pt x="54" y="502"/>
                                </a:lnTo>
                                <a:lnTo>
                                  <a:pt x="50" y="498"/>
                                </a:lnTo>
                                <a:lnTo>
                                  <a:pt x="50" y="472"/>
                                </a:lnTo>
                                <a:close/>
                                <a:moveTo>
                                  <a:pt x="66" y="0"/>
                                </a:moveTo>
                                <a:lnTo>
                                  <a:pt x="54" y="0"/>
                                </a:lnTo>
                                <a:lnTo>
                                  <a:pt x="50" y="5"/>
                                </a:lnTo>
                                <a:lnTo>
                                  <a:pt x="50" y="498"/>
                                </a:lnTo>
                                <a:lnTo>
                                  <a:pt x="54" y="502"/>
                                </a:lnTo>
                                <a:lnTo>
                                  <a:pt x="66" y="502"/>
                                </a:lnTo>
                                <a:lnTo>
                                  <a:pt x="70" y="498"/>
                                </a:lnTo>
                                <a:lnTo>
                                  <a:pt x="70" y="5"/>
                                </a:lnTo>
                                <a:lnTo>
                                  <a:pt x="66" y="0"/>
                                </a:lnTo>
                                <a:close/>
                                <a:moveTo>
                                  <a:pt x="120" y="472"/>
                                </a:moveTo>
                                <a:lnTo>
                                  <a:pt x="70" y="472"/>
                                </a:lnTo>
                                <a:lnTo>
                                  <a:pt x="70" y="498"/>
                                </a:lnTo>
                                <a:lnTo>
                                  <a:pt x="66" y="502"/>
                                </a:lnTo>
                                <a:lnTo>
                                  <a:pt x="105" y="502"/>
                                </a:lnTo>
                                <a:lnTo>
                                  <a:pt x="120" y="472"/>
                                </a:lnTo>
                                <a:close/>
                              </a:path>
                            </a:pathLst>
                          </a:custGeom>
                          <a:solidFill>
                            <a:srgbClr val="000000"/>
                          </a:solidFill>
                          <a:ln w="9525">
                            <a:noFill/>
                          </a:ln>
                        </wps:spPr>
                        <wps:bodyPr upright="1"/>
                      </wps:wsp>
                    </wpg:wgp>
                  </a:graphicData>
                </a:graphic>
              </wp:anchor>
            </w:drawing>
          </mc:Choice>
          <mc:Fallback>
            <w:pict>
              <v:group id="_x0000_s1026" o:spid="_x0000_s1026" o:spt="203" style="position:absolute;left:0pt;margin-left:104.65pt;margin-top:9.7pt;height:47.2pt;width:89.9pt;mso-position-horizontal-relative:page;z-index:-251654144;mso-width-relative:page;mso-height-relative:page;" coordsize="1798,944" o:gfxdata="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B52kWO2QAAAAoBAAAPAAAAAAAAAAEAIAAAACIAAABkcnMvZG93&#10;bnJldi54bWxQSwECFAAUAAAACACHTuJAAFzIzeQEAADMEwAADgAAAAAAAAABACAAAAAoAQAAZHJz&#10;L2Uyb0RvYy54bWxQSwUGAAAAAAYABgBZAQAAfggAAAAA&#10;">
                <o:lock v:ext="edit" aspectratio="f"/>
                <v:line id="_x0000_s1026" o:spid="_x0000_s1026" o:spt="20" style="position:absolute;left:70;top:0;height:0;width:1728;"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100" style="position:absolute;left:0;top:6;height:938;width:120;" fillcolor="#000000" filled="t" stroked="f" coordsize="120,930" o:gfxdata="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fLLkvQAA&#10;ANsAAAAPAAAAAAAAAAEAIAAAACIAAABkcnMvZG93bnJldi54bWxQSwECFAAUAAAACACHTuJAMy8F&#10;njsAAAA5AAAAEAAAAAAAAAABACAAAAAMAQAAZHJzL3NoYXBleG1sLnhtbFBLBQYAAAAABgAGAFsB&#10;AAC2AwAAAAA=&#10;" path="m50,810l0,810,60,930,105,840,54,840,50,836,50,810xm66,0l54,0,50,5,50,836,54,840,66,840,70,836,70,5,66,0xm120,810l70,810,70,836,66,840,105,840,120,810xe">
                  <v:fill on="t" focussize="0,0"/>
                  <v:stroke on="f"/>
                  <v:imagedata o:title=""/>
                  <o:lock v:ext="edit" aspectratio="f"/>
                </v:shape>
                <v:line id="_x0000_s1026" o:spid="_x0000_s1026" o:spt="20" style="position:absolute;left:348;top:342;height:0;width:1440;" filled="f" stroked="t" coordsize="21600,21600" o:gfxdata="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eg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0" style="position:absolute;left:285;top:339;height:597;width:120;" fillcolor="#000000" filled="t" stroked="f" coordsize="120,592" o:gfxdata="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jdjS/&#10;AAAA2wAAAA8AAAAAAAAAAQAgAAAAIgAAAGRycy9kb3ducmV2LnhtbFBLAQIUABQAAAAIAIdO4kAz&#10;LwWeOwAAADkAAAAQAAAAAAAAAAEAIAAAAA4BAABkcnMvc2hhcGV4bWwueG1sUEsFBgAAAAAGAAYA&#10;WwEAALgDAAAAAA==&#10;" path="m50,472l0,472,60,592,105,502,54,502,50,498,50,472xm66,0l54,0,50,5,50,498,54,502,66,502,70,498,70,5,66,0xm120,472l70,472,70,498,66,502,105,502,120,472xe">
                  <v:fill on="t" focussize="0,0"/>
                  <v:stroke on="f"/>
                  <v:imagedata o:title=""/>
                  <o:lock v:ext="edit" aspectratio="f"/>
                </v:shape>
              </v:group>
            </w:pict>
          </mc:Fallback>
        </mc:AlternateContent>
      </w:r>
      <w:r>
        <w:rPr>
          <w:color w:val="000000" w:themeColor="text1"/>
          <w:sz w:val="18"/>
          <w:highlight w:val="none"/>
          <w14:textFill>
            <w14:solidFill>
              <w14:schemeClr w14:val="tx1"/>
            </w14:solidFill>
          </w14:textFill>
        </w:rPr>
        <w:t xml:space="preserve">损伤范围 </w:t>
      </w:r>
      <w:r>
        <w:rPr>
          <w:rFonts w:hint="eastAsia"/>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一级限定值</w:t>
      </w:r>
      <w:r>
        <w:rPr>
          <w:rFonts w:hint="eastAsia"/>
          <w:color w:val="000000" w:themeColor="text1"/>
          <w:sz w:val="18"/>
          <w:highlight w:val="none"/>
          <w:lang w:eastAsia="zh-CN"/>
          <w14:textFill>
            <w14:solidFill>
              <w14:schemeClr w14:val="tx1"/>
            </w14:solidFill>
          </w14:textFill>
        </w:rPr>
        <w:t>）</w:t>
      </w:r>
    </w:p>
    <w:p>
      <w:pPr>
        <w:spacing w:before="129"/>
        <w:ind w:right="593"/>
        <w:jc w:val="center"/>
        <w:rPr>
          <w:rFonts w:hint="eastAsia" w:eastAsia="宋体"/>
          <w:color w:val="000000" w:themeColor="text1"/>
          <w:sz w:val="18"/>
          <w:highlight w:val="none"/>
          <w:lang w:eastAsia="zh-CN"/>
          <w14:textFill>
            <w14:solidFill>
              <w14:schemeClr w14:val="tx1"/>
            </w14:solidFill>
          </w14:textFill>
        </w:rPr>
      </w:pPr>
      <w:r>
        <w:rPr>
          <w:color w:val="000000" w:themeColor="text1"/>
          <w:sz w:val="18"/>
          <w:highlight w:val="none"/>
          <w14:textFill>
            <w14:solidFill>
              <w14:schemeClr w14:val="tx1"/>
            </w14:solidFill>
          </w14:textFill>
        </w:rPr>
        <w:t xml:space="preserve">损伤的程度或部位 </w:t>
      </w:r>
      <w:r>
        <w:rPr>
          <w:rFonts w:hint="eastAsia"/>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二级限定值</w:t>
      </w:r>
      <w:r>
        <w:rPr>
          <w:rFonts w:hint="eastAsia"/>
          <w:color w:val="000000" w:themeColor="text1"/>
          <w:sz w:val="18"/>
          <w:highlight w:val="none"/>
          <w:lang w:eastAsia="zh-CN"/>
          <w14:textFill>
            <w14:solidFill>
              <w14:schemeClr w14:val="tx1"/>
            </w14:solidFill>
          </w14:textFill>
        </w:rPr>
        <w:t>）</w:t>
      </w:r>
    </w:p>
    <w:p>
      <w:pPr>
        <w:pStyle w:val="8"/>
        <w:spacing w:before="6"/>
        <w:rPr>
          <w:color w:val="000000" w:themeColor="text1"/>
          <w:sz w:val="20"/>
          <w:highlight w:val="none"/>
          <w14:textFill>
            <w14:solidFill>
              <w14:schemeClr w14:val="tx1"/>
            </w14:solidFill>
          </w14:textFill>
        </w:rPr>
      </w:pPr>
    </w:p>
    <w:p>
      <w:pPr>
        <w:spacing w:before="93"/>
        <w:ind w:left="597"/>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b117.  </w:t>
      </w:r>
      <w:r>
        <w:rPr>
          <w:color w:val="000000" w:themeColor="text1"/>
          <w:sz w:val="18"/>
          <w:highlight w:val="none"/>
          <w:u w:val="single"/>
          <w14:textFill>
            <w14:solidFill>
              <w14:schemeClr w14:val="tx1"/>
            </w14:solidFill>
          </w14:textFill>
        </w:rPr>
        <w:t xml:space="preserve">     </w:t>
      </w:r>
      <w:r>
        <w:rPr>
          <w:color w:val="000000" w:themeColor="text1"/>
          <w:sz w:val="18"/>
          <w:highlight w:val="none"/>
          <w14:textFill>
            <w14:solidFill>
              <w14:schemeClr w14:val="tx1"/>
            </w14:solidFill>
          </w14:textFill>
        </w:rPr>
        <w:t xml:space="preserve"> </w:t>
      </w:r>
      <w:r>
        <w:rPr>
          <w:color w:val="000000" w:themeColor="text1"/>
          <w:sz w:val="18"/>
          <w:highlight w:val="none"/>
          <w:u w:val="single"/>
          <w14:textFill>
            <w14:solidFill>
              <w14:schemeClr w14:val="tx1"/>
            </w14:solidFill>
          </w14:textFill>
        </w:rPr>
        <w:t xml:space="preserve">  </w:t>
      </w:r>
    </w:p>
    <w:p>
      <w:pPr>
        <w:pStyle w:val="8"/>
        <w:rPr>
          <w:rFonts w:ascii="Times New Roman"/>
          <w:color w:val="000000" w:themeColor="text1"/>
          <w:sz w:val="20"/>
          <w:highlight w:val="none"/>
          <w14:textFill>
            <w14:solidFill>
              <w14:schemeClr w14:val="tx1"/>
            </w14:solidFill>
          </w14:textFill>
        </w:rPr>
      </w:pPr>
    </w:p>
    <w:p>
      <w:pPr>
        <w:pStyle w:val="8"/>
        <w:rPr>
          <w:rFonts w:ascii="Times New Roman"/>
          <w:color w:val="000000" w:themeColor="text1"/>
          <w:sz w:val="20"/>
          <w:highlight w:val="none"/>
          <w14:textFill>
            <w14:solidFill>
              <w14:schemeClr w14:val="tx1"/>
            </w14:solidFill>
          </w14:textFill>
        </w:rPr>
      </w:pPr>
    </w:p>
    <w:p>
      <w:pPr>
        <w:pStyle w:val="8"/>
        <w:spacing w:before="1"/>
        <w:rPr>
          <w:rFonts w:ascii="Times New Roman"/>
          <w:color w:val="000000" w:themeColor="text1"/>
          <w:highlight w:val="none"/>
          <w14:textFill>
            <w14:solidFill>
              <w14:schemeClr w14:val="tx1"/>
            </w14:solidFill>
          </w14:textFill>
        </w:rPr>
      </w:pPr>
    </w:p>
    <w:p>
      <w:pPr>
        <w:pStyle w:val="8"/>
        <w:spacing w:before="71"/>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身体功能限定值的具体说明如表 A2。</w:t>
      </w:r>
    </w:p>
    <w:p>
      <w:pPr>
        <w:pStyle w:val="8"/>
        <w:spacing w:before="43" w:after="21"/>
        <w:ind w:right="83"/>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A2</w:t>
      </w:r>
    </w:p>
    <w:tbl>
      <w:tblPr>
        <w:tblStyle w:val="14"/>
        <w:tblW w:w="9572"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1"/>
        <w:gridCol w:w="5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11" w:type="dxa"/>
            <w:vAlign w:val="top"/>
          </w:tcPr>
          <w:p>
            <w:pPr>
              <w:pStyle w:val="24"/>
              <w:spacing w:before="2" w:line="240" w:lineRule="atLeast"/>
              <w:ind w:right="329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一级限定值损伤的范围</w:t>
            </w:r>
          </w:p>
        </w:tc>
        <w:tc>
          <w:tcPr>
            <w:tcW w:w="5261" w:type="dxa"/>
            <w:vAlign w:val="top"/>
          </w:tcPr>
          <w:p>
            <w:pPr>
              <w:pStyle w:val="24"/>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二级限定值</w:t>
            </w:r>
          </w:p>
          <w:p>
            <w:pPr>
              <w:pStyle w:val="24"/>
              <w:spacing w:before="10" w:line="208" w:lineRule="exact"/>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损伤的程度或部位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8" w:hRule="atLeast"/>
        </w:trPr>
        <w:tc>
          <w:tcPr>
            <w:tcW w:w="4311" w:type="dxa"/>
            <w:vAlign w:val="top"/>
          </w:tcPr>
          <w:p>
            <w:pPr>
              <w:pStyle w:val="24"/>
              <w:tabs>
                <w:tab w:val="left" w:pos="470"/>
              </w:tabs>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0</w:t>
            </w:r>
            <w:r>
              <w:rPr>
                <w:rFonts w:ascii="Times New Roman" w:eastAsia="Times New Roman"/>
                <w:color w:val="000000" w:themeColor="text1"/>
                <w:sz w:val="18"/>
                <w:highlight w:val="none"/>
                <w14:textFill>
                  <w14:solidFill>
                    <w14:schemeClr w14:val="tx1"/>
                  </w14:solidFill>
                </w14:textFill>
              </w:rPr>
              <w:tab/>
            </w:r>
            <w:r>
              <w:rPr>
                <w:color w:val="000000" w:themeColor="text1"/>
                <w:sz w:val="18"/>
                <w:highlight w:val="none"/>
                <w14:textFill>
                  <w14:solidFill>
                    <w14:schemeClr w14:val="tx1"/>
                  </w14:solidFill>
                </w14:textFill>
              </w:rPr>
              <w:t>没有损伤（</w:t>
            </w:r>
            <w:r>
              <w:rPr>
                <w:rFonts w:ascii="Times New Roman" w:eastAsia="Times New Roman"/>
                <w:color w:val="000000" w:themeColor="text1"/>
                <w:sz w:val="18"/>
                <w:highlight w:val="none"/>
                <w14:textFill>
                  <w14:solidFill>
                    <w14:schemeClr w14:val="tx1"/>
                  </w14:solidFill>
                </w14:textFill>
              </w:rPr>
              <w:t>0-4</w:t>
            </w:r>
            <w:r>
              <w:rPr>
                <w:rFonts w:ascii="Times New Roman" w:eastAsia="Times New Roman"/>
                <w:color w:val="000000" w:themeColor="text1"/>
                <w:spacing w:val="22"/>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w:t>
            </w:r>
          </w:p>
          <w:p>
            <w:pPr>
              <w:pStyle w:val="24"/>
              <w:tabs>
                <w:tab w:val="left" w:pos="468"/>
              </w:tabs>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w:t>
            </w:r>
            <w:r>
              <w:rPr>
                <w:rFonts w:ascii="Times New Roman" w:eastAsia="Times New Roman"/>
                <w:color w:val="000000" w:themeColor="text1"/>
                <w:sz w:val="18"/>
                <w:highlight w:val="none"/>
                <w14:textFill>
                  <w14:solidFill>
                    <w14:schemeClr w14:val="tx1"/>
                  </w14:solidFill>
                </w14:textFill>
              </w:rPr>
              <w:tab/>
            </w:r>
            <w:r>
              <w:rPr>
                <w:color w:val="000000" w:themeColor="text1"/>
                <w:sz w:val="18"/>
                <w:highlight w:val="none"/>
                <w14:textFill>
                  <w14:solidFill>
                    <w14:schemeClr w14:val="tx1"/>
                  </w14:solidFill>
                </w14:textFill>
              </w:rPr>
              <w:t>轻度损伤（</w:t>
            </w:r>
            <w:r>
              <w:rPr>
                <w:rFonts w:ascii="Times New Roman" w:eastAsia="Times New Roman"/>
                <w:color w:val="000000" w:themeColor="text1"/>
                <w:sz w:val="18"/>
                <w:highlight w:val="none"/>
                <w14:textFill>
                  <w14:solidFill>
                    <w14:schemeClr w14:val="tx1"/>
                  </w14:solidFill>
                </w14:textFill>
              </w:rPr>
              <w:t>5-24</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w:t>
            </w:r>
          </w:p>
          <w:p>
            <w:pPr>
              <w:pStyle w:val="24"/>
              <w:tabs>
                <w:tab w:val="left" w:pos="468"/>
              </w:tabs>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2</w:t>
            </w:r>
            <w:r>
              <w:rPr>
                <w:rFonts w:ascii="Times New Roman" w:eastAsia="Times New Roman"/>
                <w:color w:val="000000" w:themeColor="text1"/>
                <w:sz w:val="18"/>
                <w:highlight w:val="none"/>
                <w14:textFill>
                  <w14:solidFill>
                    <w14:schemeClr w14:val="tx1"/>
                  </w14:solidFill>
                </w14:textFill>
              </w:rPr>
              <w:tab/>
            </w:r>
            <w:r>
              <w:rPr>
                <w:color w:val="000000" w:themeColor="text1"/>
                <w:sz w:val="18"/>
                <w:highlight w:val="none"/>
                <w14:textFill>
                  <w14:solidFill>
                    <w14:schemeClr w14:val="tx1"/>
                  </w14:solidFill>
                </w14:textFill>
              </w:rPr>
              <w:t>中度损伤（</w:t>
            </w:r>
            <w:r>
              <w:rPr>
                <w:rFonts w:ascii="Times New Roman" w:eastAsia="Times New Roman"/>
                <w:color w:val="000000" w:themeColor="text1"/>
                <w:sz w:val="18"/>
                <w:highlight w:val="none"/>
                <w14:textFill>
                  <w14:solidFill>
                    <w14:schemeClr w14:val="tx1"/>
                  </w14:solidFill>
                </w14:textFill>
              </w:rPr>
              <w:t>25-49</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w:t>
            </w:r>
          </w:p>
          <w:p>
            <w:pPr>
              <w:pStyle w:val="24"/>
              <w:tabs>
                <w:tab w:val="left" w:pos="468"/>
              </w:tabs>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3</w:t>
            </w:r>
            <w:r>
              <w:rPr>
                <w:rFonts w:ascii="Times New Roman" w:eastAsia="Times New Roman"/>
                <w:color w:val="000000" w:themeColor="text1"/>
                <w:sz w:val="18"/>
                <w:highlight w:val="none"/>
                <w14:textFill>
                  <w14:solidFill>
                    <w14:schemeClr w14:val="tx1"/>
                  </w14:solidFill>
                </w14:textFill>
              </w:rPr>
              <w:tab/>
            </w:r>
            <w:r>
              <w:rPr>
                <w:color w:val="000000" w:themeColor="text1"/>
                <w:sz w:val="18"/>
                <w:highlight w:val="none"/>
                <w14:textFill>
                  <w14:solidFill>
                    <w14:schemeClr w14:val="tx1"/>
                  </w14:solidFill>
                </w14:textFill>
              </w:rPr>
              <w:t>重度损伤（</w:t>
            </w:r>
            <w:r>
              <w:rPr>
                <w:rFonts w:ascii="Times New Roman" w:eastAsia="Times New Roman"/>
                <w:color w:val="000000" w:themeColor="text1"/>
                <w:sz w:val="18"/>
                <w:highlight w:val="none"/>
                <w14:textFill>
                  <w14:solidFill>
                    <w14:schemeClr w14:val="tx1"/>
                  </w14:solidFill>
                </w14:textFill>
              </w:rPr>
              <w:t>50-95</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w:t>
            </w:r>
          </w:p>
          <w:p>
            <w:pPr>
              <w:pStyle w:val="24"/>
              <w:tabs>
                <w:tab w:val="left" w:pos="468"/>
              </w:tabs>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4</w:t>
            </w:r>
            <w:r>
              <w:rPr>
                <w:rFonts w:ascii="Times New Roman" w:eastAsia="Times New Roman"/>
                <w:color w:val="000000" w:themeColor="text1"/>
                <w:sz w:val="18"/>
                <w:highlight w:val="none"/>
                <w14:textFill>
                  <w14:solidFill>
                    <w14:schemeClr w14:val="tx1"/>
                  </w14:solidFill>
                </w14:textFill>
              </w:rPr>
              <w:tab/>
            </w:r>
            <w:r>
              <w:rPr>
                <w:color w:val="000000" w:themeColor="text1"/>
                <w:sz w:val="18"/>
                <w:highlight w:val="none"/>
                <w14:textFill>
                  <w14:solidFill>
                    <w14:schemeClr w14:val="tx1"/>
                  </w14:solidFill>
                </w14:textFill>
              </w:rPr>
              <w:t>完全损伤（</w:t>
            </w:r>
            <w:r>
              <w:rPr>
                <w:rFonts w:ascii="Times New Roman" w:eastAsia="Times New Roman"/>
                <w:color w:val="000000" w:themeColor="text1"/>
                <w:sz w:val="18"/>
                <w:highlight w:val="none"/>
                <w14:textFill>
                  <w14:solidFill>
                    <w14:schemeClr w14:val="tx1"/>
                  </w14:solidFill>
                </w14:textFill>
              </w:rPr>
              <w:t>96-100</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w:t>
            </w:r>
          </w:p>
          <w:p>
            <w:pPr>
              <w:pStyle w:val="24"/>
              <w:spacing w:before="5"/>
              <w:ind w:left="0"/>
              <w:rPr>
                <w:rFonts w:ascii="黑体"/>
                <w:color w:val="000000" w:themeColor="text1"/>
                <w:sz w:val="19"/>
                <w:highlight w:val="none"/>
                <w14:textFill>
                  <w14:solidFill>
                    <w14:schemeClr w14:val="tx1"/>
                  </w14:solidFill>
                </w14:textFill>
              </w:rPr>
            </w:pPr>
          </w:p>
          <w:p>
            <w:pPr>
              <w:pStyle w:val="24"/>
              <w:numPr>
                <w:ilvl w:val="0"/>
                <w:numId w:val="17"/>
              </w:numPr>
              <w:tabs>
                <w:tab w:val="left" w:pos="468"/>
                <w:tab w:val="left" w:pos="469"/>
              </w:tabs>
              <w:spacing w:before="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未特指</w:t>
            </w:r>
          </w:p>
          <w:p>
            <w:pPr>
              <w:pStyle w:val="24"/>
              <w:numPr>
                <w:ilvl w:val="0"/>
                <w:numId w:val="17"/>
              </w:numPr>
              <w:tabs>
                <w:tab w:val="left" w:pos="468"/>
                <w:tab w:val="left" w:pos="469"/>
              </w:tabs>
              <w:spacing w:before="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不适用</w:t>
            </w:r>
          </w:p>
        </w:tc>
        <w:tc>
          <w:tcPr>
            <w:tcW w:w="5261" w:type="dxa"/>
            <w:vAlign w:val="top"/>
          </w:tcPr>
          <w:p>
            <w:pPr>
              <w:pStyle w:val="24"/>
              <w:spacing w:before="9" w:line="249" w:lineRule="auto"/>
              <w:ind w:left="297" w:right="4238" w:hanging="18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损伤的程度空位</w:t>
            </w:r>
          </w:p>
          <w:p>
            <w:pPr>
              <w:pStyle w:val="24"/>
              <w:spacing w:before="12" w:line="278" w:lineRule="auto"/>
              <w:ind w:left="297" w:right="4781"/>
              <w:jc w:val="both"/>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Z Y X W</w:t>
            </w:r>
          </w:p>
          <w:p>
            <w:pPr>
              <w:pStyle w:val="24"/>
              <w:spacing w:before="0" w:line="207" w:lineRule="exact"/>
              <w:ind w:left="297"/>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w:t>
            </w:r>
          </w:p>
          <w:p>
            <w:pPr>
              <w:pStyle w:val="24"/>
              <w:spacing w:before="21" w:line="249" w:lineRule="auto"/>
              <w:ind w:left="110" w:right="98"/>
              <w:rPr>
                <w:color w:val="000000" w:themeColor="text1"/>
                <w:sz w:val="18"/>
                <w:highlight w:val="none"/>
                <w14:textFill>
                  <w14:solidFill>
                    <w14:schemeClr w14:val="tx1"/>
                  </w14:solidFill>
                </w14:textFill>
              </w:rPr>
            </w:pPr>
            <w:r>
              <w:rPr>
                <w:color w:val="000000" w:themeColor="text1"/>
                <w:spacing w:val="-1"/>
                <w:sz w:val="18"/>
                <w:highlight w:val="none"/>
                <w14:textFill>
                  <w14:solidFill>
                    <w14:schemeClr w14:val="tx1"/>
                  </w14:solidFill>
                </w14:textFill>
              </w:rPr>
              <w:t>注：损伤的程度针对同一损伤的范围，按照英文字母倒序，程度</w:t>
            </w:r>
            <w:r>
              <w:rPr>
                <w:color w:val="000000" w:themeColor="text1"/>
                <w:sz w:val="18"/>
                <w:highlight w:val="none"/>
                <w14:textFill>
                  <w14:solidFill>
                    <w14:schemeClr w14:val="tx1"/>
                  </w14:solidFill>
                </w14:textFill>
              </w:rPr>
              <w:t>逐渐加重。</w:t>
            </w:r>
          </w:p>
          <w:p>
            <w:pPr>
              <w:pStyle w:val="24"/>
              <w:spacing w:before="10"/>
              <w:ind w:left="0"/>
              <w:rPr>
                <w:rFonts w:ascii="黑体"/>
                <w:color w:val="000000" w:themeColor="text1"/>
                <w:sz w:val="18"/>
                <w:highlight w:val="none"/>
                <w14:textFill>
                  <w14:solidFill>
                    <w14:schemeClr w14:val="tx1"/>
                  </w14:solidFill>
                </w14:textFill>
              </w:rPr>
            </w:pPr>
          </w:p>
          <w:p>
            <w:pPr>
              <w:pStyle w:val="24"/>
              <w:spacing w:before="0"/>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损伤的部位</w:t>
            </w:r>
          </w:p>
          <w:p>
            <w:pPr>
              <w:pStyle w:val="24"/>
              <w:numPr>
                <w:ilvl w:val="0"/>
                <w:numId w:val="18"/>
              </w:numPr>
              <w:tabs>
                <w:tab w:val="left" w:pos="385"/>
              </w:tabs>
              <w:spacing w:before="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右侧</w:t>
            </w:r>
          </w:p>
          <w:p>
            <w:pPr>
              <w:pStyle w:val="24"/>
              <w:numPr>
                <w:ilvl w:val="0"/>
                <w:numId w:val="18"/>
              </w:numPr>
              <w:tabs>
                <w:tab w:val="left" w:pos="385"/>
              </w:tabs>
              <w:spacing w:before="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左侧</w:t>
            </w:r>
          </w:p>
          <w:p>
            <w:pPr>
              <w:pStyle w:val="24"/>
              <w:numPr>
                <w:ilvl w:val="0"/>
                <w:numId w:val="18"/>
              </w:numPr>
              <w:tabs>
                <w:tab w:val="left" w:pos="385"/>
              </w:tabs>
              <w:spacing w:before="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w:t>
            </w:r>
          </w:p>
          <w:p>
            <w:pPr>
              <w:pStyle w:val="24"/>
              <w:spacing w:before="9"/>
              <w:ind w:left="1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1/2 </w:t>
            </w:r>
            <w:r>
              <w:rPr>
                <w:color w:val="000000" w:themeColor="text1"/>
                <w:sz w:val="18"/>
                <w:highlight w:val="none"/>
                <w14:textFill>
                  <w14:solidFill>
                    <w14:schemeClr w14:val="tx1"/>
                  </w14:solidFill>
                </w14:textFill>
              </w:rPr>
              <w:t>特指一侧（右侧或左侧）</w:t>
            </w:r>
          </w:p>
          <w:p>
            <w:pPr>
              <w:pStyle w:val="24"/>
              <w:spacing w:before="9" w:line="208" w:lineRule="exact"/>
              <w:ind w:left="1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2/1 </w:t>
            </w:r>
            <w:r>
              <w:rPr>
                <w:color w:val="000000" w:themeColor="text1"/>
                <w:sz w:val="18"/>
                <w:highlight w:val="none"/>
                <w14:textFill>
                  <w14:solidFill>
                    <w14:schemeClr w14:val="tx1"/>
                  </w14:solidFill>
                </w14:textFill>
              </w:rPr>
              <w:t>特指另一侧（右侧或左侧）</w:t>
            </w:r>
          </w:p>
        </w:tc>
      </w:tr>
    </w:tbl>
    <w:p>
      <w:pPr>
        <w:pStyle w:val="8"/>
        <w:spacing w:before="4"/>
        <w:rPr>
          <w:rFonts w:ascii="黑体"/>
          <w:color w:val="000000" w:themeColor="text1"/>
          <w:sz w:val="9"/>
          <w:highlight w:val="none"/>
          <w14:textFill>
            <w14:solidFill>
              <w14:schemeClr w14:val="tx1"/>
            </w14:solidFill>
          </w14:textFill>
        </w:rPr>
      </w:pPr>
    </w:p>
    <w:p>
      <w:pPr>
        <w:spacing w:before="75"/>
        <w:ind w:left="21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表注：使用二级限定值，如果同时存在损伤的程度和损伤的部位，先编码损伤的程度，再编码损伤的部位。例如：</w:t>
      </w:r>
    </w:p>
    <w:p>
      <w:pPr>
        <w:spacing w:before="81"/>
        <w:ind w:left="212"/>
        <w:rPr>
          <w:color w:val="000000" w:themeColor="text1"/>
          <w:sz w:val="18"/>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b210.1X3</w:t>
      </w:r>
      <w:r>
        <w:rPr>
          <w:rFonts w:eastAsia="Times New Roman"/>
          <w:color w:val="000000" w:themeColor="text1"/>
          <w:spacing w:val="44"/>
          <w:sz w:val="18"/>
          <w:highlight w:val="none"/>
          <w14:textFill>
            <w14:solidFill>
              <w14:schemeClr w14:val="tx1"/>
            </w14:solidFill>
          </w14:textFill>
        </w:rPr>
        <w:t xml:space="preserve"> </w:t>
      </w:r>
      <w:r>
        <w:rPr>
          <w:color w:val="000000" w:themeColor="text1"/>
          <w:spacing w:val="-6"/>
          <w:sz w:val="18"/>
          <w:highlight w:val="none"/>
          <w14:textFill>
            <w14:solidFill>
              <w14:schemeClr w14:val="tx1"/>
            </w14:solidFill>
          </w14:textFill>
        </w:rPr>
        <w:t xml:space="preserve">双眼低视力大于等于 </w:t>
      </w:r>
      <w:r>
        <w:rPr>
          <w:rFonts w:eastAsia="Times New Roman"/>
          <w:color w:val="000000" w:themeColor="text1"/>
          <w:sz w:val="18"/>
          <w:highlight w:val="none"/>
          <w14:textFill>
            <w14:solidFill>
              <w14:schemeClr w14:val="tx1"/>
            </w14:solidFill>
          </w14:textFill>
        </w:rPr>
        <w:t>1</w:t>
      </w:r>
      <w:r>
        <w:rPr>
          <w:rFonts w:eastAsia="Times New Roman"/>
          <w:color w:val="000000" w:themeColor="text1"/>
          <w:spacing w:val="2"/>
          <w:sz w:val="18"/>
          <w:highlight w:val="none"/>
          <w14:textFill>
            <w14:solidFill>
              <w14:schemeClr w14:val="tx1"/>
            </w14:solidFill>
          </w14:textFill>
        </w:rPr>
        <w:t xml:space="preserve"> </w:t>
      </w:r>
      <w:r>
        <w:rPr>
          <w:color w:val="000000" w:themeColor="text1"/>
          <w:spacing w:val="-1"/>
          <w:sz w:val="18"/>
          <w:highlight w:val="none"/>
          <w14:textFill>
            <w14:solidFill>
              <w14:schemeClr w14:val="tx1"/>
            </w14:solidFill>
          </w14:textFill>
        </w:rPr>
        <w:t xml:space="preserve">级 </w:t>
      </w:r>
      <w:r>
        <w:rPr>
          <w:color w:val="000000" w:themeColor="text1"/>
          <w:sz w:val="18"/>
          <w:highlight w:val="none"/>
          <w14:textFill>
            <w14:solidFill>
              <w14:schemeClr w14:val="tx1"/>
            </w14:solidFill>
          </w14:textFill>
        </w:rPr>
        <w:t>（</w:t>
      </w:r>
      <w:r>
        <w:rPr>
          <w:rFonts w:eastAsia="Times New Roman"/>
          <w:color w:val="000000" w:themeColor="text1"/>
          <w:sz w:val="18"/>
          <w:highlight w:val="none"/>
          <w14:textFill>
            <w14:solidFill>
              <w14:schemeClr w14:val="tx1"/>
            </w14:solidFill>
          </w14:textFill>
        </w:rPr>
        <w:t xml:space="preserve">1X-  </w:t>
      </w:r>
      <w:r>
        <w:rPr>
          <w:color w:val="000000" w:themeColor="text1"/>
          <w:sz w:val="18"/>
          <w:highlight w:val="none"/>
          <w14:textFill>
            <w14:solidFill>
              <w14:schemeClr w14:val="tx1"/>
            </w14:solidFill>
          </w14:textFill>
        </w:rPr>
        <w:t>程度；</w:t>
      </w:r>
      <w:r>
        <w:rPr>
          <w:rFonts w:eastAsia="Times New Roman"/>
          <w:color w:val="000000" w:themeColor="text1"/>
          <w:sz w:val="18"/>
          <w:highlight w:val="none"/>
          <w14:textFill>
            <w14:solidFill>
              <w14:schemeClr w14:val="tx1"/>
            </w14:solidFill>
          </w14:textFill>
        </w:rPr>
        <w:t xml:space="preserve">3-  </w:t>
      </w:r>
      <w:r>
        <w:rPr>
          <w:color w:val="000000" w:themeColor="text1"/>
          <w:spacing w:val="-2"/>
          <w:sz w:val="18"/>
          <w:highlight w:val="none"/>
          <w14:textFill>
            <w14:solidFill>
              <w14:schemeClr w14:val="tx1"/>
            </w14:solidFill>
          </w14:textFill>
        </w:rPr>
        <w:t>双侧</w:t>
      </w:r>
      <w:r>
        <w:rPr>
          <w:color w:val="000000" w:themeColor="text1"/>
          <w:sz w:val="18"/>
          <w:highlight w:val="none"/>
          <w14:textFill>
            <w14:solidFill>
              <w14:schemeClr w14:val="tx1"/>
            </w14:solidFill>
          </w14:textFill>
        </w:rPr>
        <w:t>）。</w:t>
      </w:r>
    </w:p>
    <w:p>
      <w:pPr>
        <w:pStyle w:val="8"/>
        <w:spacing w:before="4"/>
        <w:rPr>
          <w:color w:val="000000" w:themeColor="text1"/>
          <w:sz w:val="17"/>
          <w:highlight w:val="none"/>
          <w14:textFill>
            <w14:solidFill>
              <w14:schemeClr w14:val="tx1"/>
            </w14:solidFill>
          </w14:textFill>
        </w:rPr>
      </w:pPr>
    </w:p>
    <w:p>
      <w:pPr>
        <w:pStyle w:val="20"/>
        <w:numPr>
          <w:ilvl w:val="3"/>
          <w:numId w:val="16"/>
        </w:numPr>
        <w:tabs>
          <w:tab w:val="left" w:pos="1159"/>
        </w:tabs>
        <w:autoSpaceDE w:val="0"/>
        <w:autoSpaceDN w:val="0"/>
        <w:spacing w:after="0"/>
        <w:ind w:left="1158"/>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身体功能一级限定值的使用</w:t>
      </w:r>
    </w:p>
    <w:p>
      <w:pPr>
        <w:pStyle w:val="8"/>
        <w:spacing w:before="7"/>
        <w:rPr>
          <w:rFonts w:ascii="黑体"/>
          <w:color w:val="000000" w:themeColor="text1"/>
          <w:sz w:val="15"/>
          <w:highlight w:val="none"/>
          <w14:textFill>
            <w14:solidFill>
              <w14:schemeClr w14:val="tx1"/>
            </w14:solidFill>
          </w14:textFill>
        </w:rPr>
      </w:pPr>
    </w:p>
    <w:p>
      <w:pPr>
        <w:pStyle w:val="8"/>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一旦出现损伤，身体功能损伤或障碍的范围或程度，就可以使用通用的限定值进行量化。例如：</w:t>
      </w:r>
    </w:p>
    <w:p>
      <w:pPr>
        <w:tabs>
          <w:tab w:val="left" w:pos="4833"/>
        </w:tabs>
        <w:spacing w:before="71"/>
        <w:ind w:left="21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s76000.250/ s76002.250, s76000.240/ s76002.240;</w:t>
      </w:r>
      <w:r>
        <w:rPr>
          <w:color w:val="000000" w:themeColor="text1"/>
          <w:spacing w:val="-20"/>
          <w:sz w:val="18"/>
          <w:highlight w:val="none"/>
          <w:u w:val="single"/>
          <w14:textFill>
            <w14:solidFill>
              <w14:schemeClr w14:val="tx1"/>
            </w14:solidFill>
          </w14:textFill>
        </w:rPr>
        <w:t xml:space="preserve"> </w:t>
      </w:r>
      <w:r>
        <w:rPr>
          <w:color w:val="000000" w:themeColor="text1"/>
          <w:sz w:val="18"/>
          <w:highlight w:val="none"/>
          <w:u w:val="single"/>
          <w14:textFill>
            <w14:solidFill>
              <w14:schemeClr w14:val="tx1"/>
            </w14:solidFill>
          </w14:textFill>
        </w:rPr>
        <w:t>b710.2</w:t>
      </w:r>
      <w:r>
        <w:rPr>
          <w:color w:val="000000" w:themeColor="text1"/>
          <w:sz w:val="18"/>
          <w:highlight w:val="none"/>
          <w:u w:val="single"/>
          <w14:textFill>
            <w14:solidFill>
              <w14:schemeClr w14:val="tx1"/>
            </w14:solidFill>
          </w14:textFill>
        </w:rPr>
        <w:tab/>
      </w:r>
    </w:p>
    <w:p>
      <w:pPr>
        <w:pStyle w:val="8"/>
        <w:spacing w:before="77"/>
        <w:ind w:left="2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脊柱骨折脱位导致颈椎或腰椎畸形愈合，且颈部或腰部活动度丧失大于等于 </w:t>
      </w:r>
      <w:r>
        <w:rPr>
          <w:rFonts w:ascii="Times New Roman" w:hAnsi="Times New Roman" w:eastAsia="Times New Roman"/>
          <w:color w:val="000000" w:themeColor="text1"/>
          <w:highlight w:val="none"/>
          <w14:textFill>
            <w14:solidFill>
              <w14:schemeClr w14:val="tx1"/>
            </w14:solidFill>
          </w14:textFill>
        </w:rPr>
        <w:t xml:space="preserve">25% </w:t>
      </w:r>
      <w:r>
        <w:rPr>
          <w:rFonts w:hint="eastAsia" w:ascii="Times New Roman" w:hAnsi="Times New Roman"/>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达到中度障碍“</w:t>
      </w:r>
      <w:r>
        <w:rPr>
          <w:rFonts w:ascii="Times New Roman" w:hAns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p>
    <w:p>
      <w:pPr>
        <w:pStyle w:val="8"/>
        <w:spacing w:before="55"/>
        <w:ind w:left="212"/>
        <w:rPr>
          <w:rFonts w:hint="eastAsia" w:ascii="Times New Roman" w:eastAsia="宋体"/>
          <w:color w:val="000000" w:themeColor="text1"/>
          <w:highlight w:val="none"/>
          <w:lang w:eastAsia="zh-CN"/>
          <w14:textFill>
            <w14:solidFill>
              <w14:schemeClr w14:val="tx1"/>
            </w14:solidFill>
          </w14:textFill>
        </w:rPr>
      </w:pPr>
      <w:r>
        <w:rPr>
          <w:rFonts w:ascii="Times New Roman"/>
          <w:color w:val="000000" w:themeColor="text1"/>
          <w:highlight w:val="none"/>
          <w14:textFill>
            <w14:solidFill>
              <w14:schemeClr w14:val="tx1"/>
            </w14:solidFill>
          </w14:textFill>
        </w:rPr>
        <w:t>5-24 %</w:t>
      </w:r>
      <w:r>
        <w:rPr>
          <w:rFonts w:hint="eastAsia" w:ascii="Times New Roman"/>
          <w:color w:val="000000" w:themeColor="text1"/>
          <w:highlight w:val="none"/>
          <w:lang w:eastAsia="zh-CN"/>
          <w14:textFill>
            <w14:solidFill>
              <w14:schemeClr w14:val="tx1"/>
            </w14:solidFill>
          </w14:textFill>
        </w:rPr>
        <w:t>）</w:t>
      </w:r>
    </w:p>
    <w:p>
      <w:pPr>
        <w:tabs>
          <w:tab w:val="left" w:pos="4833"/>
        </w:tabs>
        <w:spacing w:before="86"/>
        <w:ind w:left="212"/>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s76000.250/ s76002.250, s76000.240/ s76002.240;</w:t>
      </w:r>
      <w:r>
        <w:rPr>
          <w:color w:val="000000" w:themeColor="text1"/>
          <w:spacing w:val="-20"/>
          <w:sz w:val="18"/>
          <w:highlight w:val="none"/>
          <w:u w:val="single"/>
          <w14:textFill>
            <w14:solidFill>
              <w14:schemeClr w14:val="tx1"/>
            </w14:solidFill>
          </w14:textFill>
        </w:rPr>
        <w:t xml:space="preserve"> </w:t>
      </w:r>
      <w:r>
        <w:rPr>
          <w:color w:val="000000" w:themeColor="text1"/>
          <w:sz w:val="18"/>
          <w:highlight w:val="none"/>
          <w:u w:val="single"/>
          <w14:textFill>
            <w14:solidFill>
              <w14:schemeClr w14:val="tx1"/>
            </w14:solidFill>
          </w14:textFill>
        </w:rPr>
        <w:t>b710.3</w:t>
      </w:r>
      <w:r>
        <w:rPr>
          <w:color w:val="000000" w:themeColor="text1"/>
          <w:sz w:val="18"/>
          <w:highlight w:val="none"/>
          <w:u w:val="single"/>
          <w14:textFill>
            <w14:solidFill>
              <w14:schemeClr w14:val="tx1"/>
            </w14:solidFill>
          </w14:textFill>
        </w:rPr>
        <w:tab/>
      </w:r>
    </w:p>
    <w:p>
      <w:pPr>
        <w:pStyle w:val="8"/>
        <w:spacing w:before="78" w:line="278" w:lineRule="auto"/>
        <w:ind w:left="212" w:right="1071"/>
        <w:rPr>
          <w:rFonts w:hint="eastAsia" w:ascii="Times New Roman" w:hAnsi="Times New Roman"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脊柱骨折脱位导致颈椎或腰椎畸形愈合，且颈部或腰部活动度丧失大于等于 </w:t>
      </w:r>
      <w:r>
        <w:rPr>
          <w:rFonts w:ascii="Times New Roman" w:hAnsi="Times New Roman" w:eastAsia="Times New Roman"/>
          <w:color w:val="000000" w:themeColor="text1"/>
          <w:highlight w:val="none"/>
          <w14:textFill>
            <w14:solidFill>
              <w14:schemeClr w14:val="tx1"/>
            </w14:solidFill>
          </w14:textFill>
        </w:rPr>
        <w:t xml:space="preserve">50% </w:t>
      </w:r>
      <w:r>
        <w:rPr>
          <w:rFonts w:hint="eastAsia" w:ascii="Times New Roman" w:hAnsi="Times New Roman"/>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达到 重度障碍“</w:t>
      </w:r>
      <w:r>
        <w:rPr>
          <w:rFonts w:ascii="Times New Roman" w:hAns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50-95 %</w:t>
      </w:r>
      <w:r>
        <w:rPr>
          <w:rFonts w:hint="eastAsia" w:ascii="Times New Roman" w:hAnsi="Times New Roman"/>
          <w:color w:val="000000" w:themeColor="text1"/>
          <w:highlight w:val="none"/>
          <w:lang w:eastAsia="zh-CN"/>
          <w14:textFill>
            <w14:solidFill>
              <w14:schemeClr w14:val="tx1"/>
            </w14:solidFill>
          </w14:textFill>
        </w:rPr>
        <w:t>）</w:t>
      </w:r>
    </w:p>
    <w:p>
      <w:pPr>
        <w:pStyle w:val="20"/>
        <w:numPr>
          <w:ilvl w:val="3"/>
          <w:numId w:val="16"/>
        </w:numPr>
        <w:tabs>
          <w:tab w:val="left" w:pos="1159"/>
        </w:tabs>
        <w:autoSpaceDE w:val="0"/>
        <w:autoSpaceDN w:val="0"/>
        <w:spacing w:before="156" w:after="0"/>
        <w:ind w:left="1158"/>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身体功能二级限定值的使用</w:t>
      </w:r>
    </w:p>
    <w:p>
      <w:pPr>
        <w:pStyle w:val="8"/>
        <w:spacing w:before="6"/>
        <w:rPr>
          <w:rFonts w:ascii="黑体"/>
          <w:color w:val="000000" w:themeColor="text1"/>
          <w:sz w:val="15"/>
          <w:highlight w:val="none"/>
          <w14:textFill>
            <w14:solidFill>
              <w14:schemeClr w14:val="tx1"/>
            </w14:solidFill>
          </w14:textFill>
        </w:rPr>
      </w:pPr>
    </w:p>
    <w:p>
      <w:pPr>
        <w:pStyle w:val="8"/>
        <w:spacing w:line="278" w:lineRule="auto"/>
        <w:ind w:left="212" w:right="606" w:firstLine="42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 xml:space="preserve">身体功能二级限定值是在 </w:t>
      </w:r>
      <w:r>
        <w:rPr>
          <w:rFonts w:ascii="Times New Roman" w:eastAsia="Times New Roman"/>
          <w:color w:val="000000" w:themeColor="text1"/>
          <w:highlight w:val="none"/>
          <w14:textFill>
            <w14:solidFill>
              <w14:schemeClr w14:val="tx1"/>
            </w14:solidFill>
          </w14:textFill>
        </w:rPr>
        <w:t xml:space="preserve">ICF </w:t>
      </w:r>
      <w:r>
        <w:rPr>
          <w:color w:val="000000" w:themeColor="text1"/>
          <w:spacing w:val="-3"/>
          <w:highlight w:val="none"/>
          <w14:textFill>
            <w14:solidFill>
              <w14:schemeClr w14:val="tx1"/>
            </w14:solidFill>
          </w14:textFill>
        </w:rPr>
        <w:t>身体功能一级限定值的基础上，人身保险伤残评定标准自定义扩展</w:t>
      </w:r>
      <w:r>
        <w:rPr>
          <w:color w:val="000000" w:themeColor="text1"/>
          <w:spacing w:val="-16"/>
          <w:highlight w:val="none"/>
          <w14:textFill>
            <w14:solidFill>
              <w14:schemeClr w14:val="tx1"/>
            </w14:solidFill>
          </w14:textFill>
        </w:rPr>
        <w:t>的内容。在身体功能一级限定值说明不充分的情况下，用二级限定值进一步细化说明损伤的程度或部位。</w:t>
      </w:r>
      <w:r>
        <w:rPr>
          <w:color w:val="000000" w:themeColor="text1"/>
          <w:spacing w:val="-7"/>
          <w:highlight w:val="none"/>
          <w14:textFill>
            <w14:solidFill>
              <w14:schemeClr w14:val="tx1"/>
            </w14:solidFill>
          </w14:textFill>
        </w:rPr>
        <w:t>具体规则和方法如下：</w:t>
      </w:r>
    </w:p>
    <w:p>
      <w:pPr>
        <w:spacing w:line="278" w:lineRule="auto"/>
        <w:rPr>
          <w:color w:val="000000" w:themeColor="text1"/>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7"/>
        <w:rPr>
          <w:color w:val="000000" w:themeColor="text1"/>
          <w:sz w:val="14"/>
          <w:highlight w:val="none"/>
          <w14:textFill>
            <w14:solidFill>
              <w14:schemeClr w14:val="tx1"/>
            </w14:solidFill>
          </w14:textFill>
        </w:rPr>
      </w:pPr>
    </w:p>
    <w:p>
      <w:pPr>
        <w:pStyle w:val="8"/>
        <w:tabs>
          <w:tab w:val="left" w:leader="dot" w:pos="4596"/>
        </w:tabs>
        <w:spacing w:before="72" w:line="278" w:lineRule="auto"/>
        <w:ind w:left="496" w:right="427" w:firstLine="420"/>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说明</w:t>
      </w:r>
      <w:r>
        <w:rPr>
          <w:color w:val="000000" w:themeColor="text1"/>
          <w:spacing w:val="-3"/>
          <w:highlight w:val="none"/>
          <w14:textFill>
            <w14:solidFill>
              <w14:schemeClr w14:val="tx1"/>
            </w14:solidFill>
          </w14:textFill>
        </w:rPr>
        <w:t>损</w:t>
      </w:r>
      <w:r>
        <w:rPr>
          <w:color w:val="000000" w:themeColor="text1"/>
          <w:highlight w:val="none"/>
          <w14:textFill>
            <w14:solidFill>
              <w14:schemeClr w14:val="tx1"/>
            </w14:solidFill>
          </w14:textFill>
        </w:rPr>
        <w:t>伤</w:t>
      </w:r>
      <w:r>
        <w:rPr>
          <w:color w:val="000000" w:themeColor="text1"/>
          <w:spacing w:val="-3"/>
          <w:highlight w:val="none"/>
          <w14:textFill>
            <w14:solidFill>
              <w14:schemeClr w14:val="tx1"/>
            </w14:solidFill>
          </w14:textFill>
        </w:rPr>
        <w:t>的</w:t>
      </w:r>
      <w:r>
        <w:rPr>
          <w:color w:val="000000" w:themeColor="text1"/>
          <w:highlight w:val="none"/>
          <w14:textFill>
            <w14:solidFill>
              <w14:schemeClr w14:val="tx1"/>
            </w14:solidFill>
          </w14:textFill>
        </w:rPr>
        <w:t>程</w:t>
      </w:r>
      <w:r>
        <w:rPr>
          <w:color w:val="000000" w:themeColor="text1"/>
          <w:spacing w:val="-27"/>
          <w:highlight w:val="none"/>
          <w14:textFill>
            <w14:solidFill>
              <w14:schemeClr w14:val="tx1"/>
            </w14:solidFill>
          </w14:textFill>
        </w:rPr>
        <w:t>度</w:t>
      </w:r>
      <w:r>
        <w:rPr>
          <w:b/>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损</w:t>
      </w:r>
      <w:r>
        <w:rPr>
          <w:color w:val="000000" w:themeColor="text1"/>
          <w:highlight w:val="none"/>
          <w14:textFill>
            <w14:solidFill>
              <w14:schemeClr w14:val="tx1"/>
            </w14:solidFill>
          </w14:textFill>
        </w:rPr>
        <w:t>伤</w:t>
      </w:r>
      <w:r>
        <w:rPr>
          <w:color w:val="000000" w:themeColor="text1"/>
          <w:spacing w:val="-3"/>
          <w:highlight w:val="none"/>
          <w14:textFill>
            <w14:solidFill>
              <w14:schemeClr w14:val="tx1"/>
            </w14:solidFill>
          </w14:textFill>
        </w:rPr>
        <w:t>的</w:t>
      </w:r>
      <w:r>
        <w:rPr>
          <w:color w:val="000000" w:themeColor="text1"/>
          <w:highlight w:val="none"/>
          <w14:textFill>
            <w14:solidFill>
              <w14:schemeClr w14:val="tx1"/>
            </w14:solidFill>
          </w14:textFill>
        </w:rPr>
        <w:t>程度</w:t>
      </w:r>
      <w:r>
        <w:rPr>
          <w:color w:val="000000" w:themeColor="text1"/>
          <w:spacing w:val="-3"/>
          <w:highlight w:val="none"/>
          <w14:textFill>
            <w14:solidFill>
              <w14:schemeClr w14:val="tx1"/>
            </w14:solidFill>
          </w14:textFill>
        </w:rPr>
        <w:t>针</w:t>
      </w:r>
      <w:r>
        <w:rPr>
          <w:color w:val="000000" w:themeColor="text1"/>
          <w:highlight w:val="none"/>
          <w14:textFill>
            <w14:solidFill>
              <w14:schemeClr w14:val="tx1"/>
            </w14:solidFill>
          </w14:textFill>
        </w:rPr>
        <w:t>对</w:t>
      </w:r>
      <w:r>
        <w:rPr>
          <w:color w:val="000000" w:themeColor="text1"/>
          <w:spacing w:val="-3"/>
          <w:highlight w:val="none"/>
          <w14:textFill>
            <w14:solidFill>
              <w14:schemeClr w14:val="tx1"/>
            </w14:solidFill>
          </w14:textFill>
        </w:rPr>
        <w:t>同</w:t>
      </w:r>
      <w:r>
        <w:rPr>
          <w:color w:val="000000" w:themeColor="text1"/>
          <w:highlight w:val="none"/>
          <w14:textFill>
            <w14:solidFill>
              <w14:schemeClr w14:val="tx1"/>
            </w14:solidFill>
          </w14:textFill>
        </w:rPr>
        <w:t>一</w:t>
      </w:r>
      <w:r>
        <w:rPr>
          <w:color w:val="000000" w:themeColor="text1"/>
          <w:spacing w:val="-3"/>
          <w:highlight w:val="none"/>
          <w14:textFill>
            <w14:solidFill>
              <w14:schemeClr w14:val="tx1"/>
            </w14:solidFill>
          </w14:textFill>
        </w:rPr>
        <w:t>损</w:t>
      </w:r>
      <w:r>
        <w:rPr>
          <w:color w:val="000000" w:themeColor="text1"/>
          <w:highlight w:val="none"/>
          <w14:textFill>
            <w14:solidFill>
              <w14:schemeClr w14:val="tx1"/>
            </w14:solidFill>
          </w14:textFill>
        </w:rPr>
        <w:t>伤</w:t>
      </w:r>
      <w:r>
        <w:rPr>
          <w:color w:val="000000" w:themeColor="text1"/>
          <w:spacing w:val="-3"/>
          <w:highlight w:val="none"/>
          <w14:textFill>
            <w14:solidFill>
              <w14:schemeClr w14:val="tx1"/>
            </w14:solidFill>
          </w14:textFill>
        </w:rPr>
        <w:t>的</w:t>
      </w:r>
      <w:r>
        <w:rPr>
          <w:color w:val="000000" w:themeColor="text1"/>
          <w:highlight w:val="none"/>
          <w14:textFill>
            <w14:solidFill>
              <w14:schemeClr w14:val="tx1"/>
            </w14:solidFill>
          </w14:textFill>
        </w:rPr>
        <w:t>范</w:t>
      </w:r>
      <w:r>
        <w:rPr>
          <w:color w:val="000000" w:themeColor="text1"/>
          <w:spacing w:val="-3"/>
          <w:highlight w:val="none"/>
          <w14:textFill>
            <w14:solidFill>
              <w14:schemeClr w14:val="tx1"/>
            </w14:solidFill>
          </w14:textFill>
        </w:rPr>
        <w:t>围</w:t>
      </w:r>
      <w:r>
        <w:rPr>
          <w:color w:val="000000" w:themeColor="text1"/>
          <w:spacing w:val="-25"/>
          <w:highlight w:val="none"/>
          <w14:textFill>
            <w14:solidFill>
              <w14:schemeClr w14:val="tx1"/>
            </w14:solidFill>
          </w14:textFill>
        </w:rPr>
        <w:t>，</w:t>
      </w:r>
      <w:r>
        <w:rPr>
          <w:color w:val="000000" w:themeColor="text1"/>
          <w:highlight w:val="none"/>
          <w14:textFill>
            <w14:solidFill>
              <w14:schemeClr w14:val="tx1"/>
            </w14:solidFill>
          </w14:textFill>
        </w:rPr>
        <w:t>按</w:t>
      </w:r>
      <w:r>
        <w:rPr>
          <w:color w:val="000000" w:themeColor="text1"/>
          <w:spacing w:val="-3"/>
          <w:highlight w:val="none"/>
          <w14:textFill>
            <w14:solidFill>
              <w14:schemeClr w14:val="tx1"/>
            </w14:solidFill>
          </w14:textFill>
        </w:rPr>
        <w:t>照</w:t>
      </w:r>
      <w:r>
        <w:rPr>
          <w:color w:val="000000" w:themeColor="text1"/>
          <w:highlight w:val="none"/>
          <w14:textFill>
            <w14:solidFill>
              <w14:schemeClr w14:val="tx1"/>
            </w14:solidFill>
          </w14:textFill>
        </w:rPr>
        <w:t>英</w:t>
      </w:r>
      <w:r>
        <w:rPr>
          <w:color w:val="000000" w:themeColor="text1"/>
          <w:spacing w:val="-3"/>
          <w:highlight w:val="none"/>
          <w14:textFill>
            <w14:solidFill>
              <w14:schemeClr w14:val="tx1"/>
            </w14:solidFill>
          </w14:textFill>
        </w:rPr>
        <w:t>文</w:t>
      </w:r>
      <w:r>
        <w:rPr>
          <w:color w:val="000000" w:themeColor="text1"/>
          <w:highlight w:val="none"/>
          <w14:textFill>
            <w14:solidFill>
              <w14:schemeClr w14:val="tx1"/>
            </w14:solidFill>
          </w14:textFill>
        </w:rPr>
        <w:t>字</w:t>
      </w:r>
      <w:r>
        <w:rPr>
          <w:color w:val="000000" w:themeColor="text1"/>
          <w:spacing w:val="-3"/>
          <w:highlight w:val="none"/>
          <w14:textFill>
            <w14:solidFill>
              <w14:schemeClr w14:val="tx1"/>
            </w14:solidFill>
          </w14:textFill>
        </w:rPr>
        <w:t>母</w:t>
      </w:r>
      <w:r>
        <w:rPr>
          <w:color w:val="000000" w:themeColor="text1"/>
          <w:highlight w:val="none"/>
          <w14:textFill>
            <w14:solidFill>
              <w14:schemeClr w14:val="tx1"/>
            </w14:solidFill>
          </w14:textFill>
        </w:rPr>
        <w:t>倒</w:t>
      </w:r>
      <w:r>
        <w:rPr>
          <w:color w:val="000000" w:themeColor="text1"/>
          <w:spacing w:val="-3"/>
          <w:highlight w:val="none"/>
          <w14:textFill>
            <w14:solidFill>
              <w14:schemeClr w14:val="tx1"/>
            </w14:solidFill>
          </w14:textFill>
        </w:rPr>
        <w:t>序</w:t>
      </w:r>
      <w:r>
        <w:rPr>
          <w:color w:val="000000" w:themeColor="text1"/>
          <w:spacing w:val="-25"/>
          <w:highlight w:val="none"/>
          <w14:textFill>
            <w14:solidFill>
              <w14:schemeClr w14:val="tx1"/>
            </w14:solidFill>
          </w14:textFill>
        </w:rPr>
        <w:t>，</w:t>
      </w:r>
      <w:r>
        <w:rPr>
          <w:color w:val="000000" w:themeColor="text1"/>
          <w:spacing w:val="-3"/>
          <w:highlight w:val="none"/>
          <w14:textFill>
            <w14:solidFill>
              <w14:schemeClr w14:val="tx1"/>
            </w14:solidFill>
          </w14:textFill>
        </w:rPr>
        <w:t>程</w:t>
      </w:r>
      <w:r>
        <w:rPr>
          <w:color w:val="000000" w:themeColor="text1"/>
          <w:highlight w:val="none"/>
          <w14:textFill>
            <w14:solidFill>
              <w14:schemeClr w14:val="tx1"/>
            </w14:solidFill>
          </w14:textFill>
        </w:rPr>
        <w:t>度逐</w:t>
      </w:r>
      <w:r>
        <w:rPr>
          <w:color w:val="000000" w:themeColor="text1"/>
          <w:spacing w:val="-3"/>
          <w:highlight w:val="none"/>
          <w14:textFill>
            <w14:solidFill>
              <w14:schemeClr w14:val="tx1"/>
            </w14:solidFill>
          </w14:textFill>
        </w:rPr>
        <w:t>渐</w:t>
      </w:r>
      <w:r>
        <w:rPr>
          <w:color w:val="000000" w:themeColor="text1"/>
          <w:highlight w:val="none"/>
          <w14:textFill>
            <w14:solidFill>
              <w14:schemeClr w14:val="tx1"/>
            </w14:solidFill>
          </w14:textFill>
        </w:rPr>
        <w:t>加</w:t>
      </w:r>
      <w:r>
        <w:rPr>
          <w:color w:val="000000" w:themeColor="text1"/>
          <w:spacing w:val="-3"/>
          <w:highlight w:val="none"/>
          <w14:textFill>
            <w14:solidFill>
              <w14:schemeClr w14:val="tx1"/>
            </w14:solidFill>
          </w14:textFill>
        </w:rPr>
        <w:t>重</w:t>
      </w:r>
      <w:r>
        <w:rPr>
          <w:color w:val="000000" w:themeColor="text1"/>
          <w:spacing w:val="-25"/>
          <w:highlight w:val="none"/>
          <w14:textFill>
            <w14:solidFill>
              <w14:schemeClr w14:val="tx1"/>
            </w14:solidFill>
          </w14:textFill>
        </w:rPr>
        <w:t>。</w:t>
      </w:r>
      <w:r>
        <w:rPr>
          <w:color w:val="000000" w:themeColor="text1"/>
          <w:spacing w:val="-3"/>
          <w:highlight w:val="none"/>
          <w14:textFill>
            <w14:solidFill>
              <w14:schemeClr w14:val="tx1"/>
            </w14:solidFill>
          </w14:textFill>
        </w:rPr>
        <w:t>没</w:t>
      </w:r>
      <w:r>
        <w:rPr>
          <w:color w:val="000000" w:themeColor="text1"/>
          <w:highlight w:val="none"/>
          <w14:textFill>
            <w14:solidFill>
              <w14:schemeClr w14:val="tx1"/>
            </w14:solidFill>
          </w14:textFill>
        </w:rPr>
        <w:t>带</w:t>
      </w:r>
      <w:r>
        <w:rPr>
          <w:color w:val="000000" w:themeColor="text1"/>
          <w:spacing w:val="-3"/>
          <w:highlight w:val="none"/>
          <w14:textFill>
            <w14:solidFill>
              <w14:schemeClr w14:val="tx1"/>
            </w14:solidFill>
          </w14:textFill>
        </w:rPr>
        <w:t>字</w:t>
      </w:r>
      <w:r>
        <w:rPr>
          <w:color w:val="000000" w:themeColor="text1"/>
          <w:highlight w:val="none"/>
          <w14:textFill>
            <w14:solidFill>
              <w14:schemeClr w14:val="tx1"/>
            </w14:solidFill>
          </w14:textFill>
        </w:rPr>
        <w:t>母的为</w:t>
      </w:r>
      <w:r>
        <w:rPr>
          <w:color w:val="000000" w:themeColor="text1"/>
          <w:spacing w:val="-3"/>
          <w:highlight w:val="none"/>
          <w14:textFill>
            <w14:solidFill>
              <w14:schemeClr w14:val="tx1"/>
            </w14:solidFill>
          </w14:textFill>
        </w:rPr>
        <w:t>最</w:t>
      </w:r>
      <w:r>
        <w:rPr>
          <w:color w:val="000000" w:themeColor="text1"/>
          <w:highlight w:val="none"/>
          <w14:textFill>
            <w14:solidFill>
              <w14:schemeClr w14:val="tx1"/>
            </w14:solidFill>
          </w14:textFill>
        </w:rPr>
        <w:t>轻</w:t>
      </w:r>
      <w:r>
        <w:rPr>
          <w:color w:val="000000" w:themeColor="text1"/>
          <w:spacing w:val="-3"/>
          <w:highlight w:val="none"/>
          <w14:textFill>
            <w14:solidFill>
              <w14:schemeClr w14:val="tx1"/>
            </w14:solidFill>
          </w14:textFill>
        </w:rPr>
        <w:t>级，</w:t>
      </w:r>
      <w:r>
        <w:rPr>
          <w:color w:val="000000" w:themeColor="text1"/>
          <w:spacing w:val="52"/>
          <w:highlight w:val="none"/>
          <w14:textFill>
            <w14:solidFill>
              <w14:schemeClr w14:val="tx1"/>
            </w14:solidFill>
          </w14:textFill>
        </w:rPr>
        <w:t>带</w:t>
      </w:r>
      <w:r>
        <w:rPr>
          <w:color w:val="000000" w:themeColor="text1"/>
          <w:highlight w:val="none"/>
          <w14:textFill>
            <w14:solidFill>
              <w14:schemeClr w14:val="tx1"/>
            </w14:solidFill>
          </w14:textFill>
        </w:rPr>
        <w:t>Z</w:t>
      </w:r>
      <w:r>
        <w:rPr>
          <w:color w:val="000000" w:themeColor="text1"/>
          <w:spacing w:val="-5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为</w:t>
      </w:r>
      <w:r>
        <w:rPr>
          <w:color w:val="000000" w:themeColor="text1"/>
          <w:highlight w:val="none"/>
          <w14:textFill>
            <w14:solidFill>
              <w14:schemeClr w14:val="tx1"/>
            </w14:solidFill>
          </w14:textFill>
        </w:rPr>
        <w:t>程</w:t>
      </w:r>
      <w:r>
        <w:rPr>
          <w:color w:val="000000" w:themeColor="text1"/>
          <w:spacing w:val="-3"/>
          <w:highlight w:val="none"/>
          <w14:textFill>
            <w14:solidFill>
              <w14:schemeClr w14:val="tx1"/>
            </w14:solidFill>
          </w14:textFill>
        </w:rPr>
        <w:t>度</w:t>
      </w:r>
      <w:r>
        <w:rPr>
          <w:color w:val="000000" w:themeColor="text1"/>
          <w:highlight w:val="none"/>
          <w14:textFill>
            <w14:solidFill>
              <w14:schemeClr w14:val="tx1"/>
            </w14:solidFill>
          </w14:textFill>
        </w:rPr>
        <w:t>加重，Y,</w:t>
      </w:r>
      <w:r>
        <w:rPr>
          <w:color w:val="000000" w:themeColor="text1"/>
          <w:spacing w:val="4"/>
          <w:highlight w:val="none"/>
          <w14:textFill>
            <w14:solidFill>
              <w14:schemeClr w14:val="tx1"/>
            </w14:solidFill>
          </w14:textFill>
        </w:rPr>
        <w:t xml:space="preserve"> </w:t>
      </w:r>
      <w:r>
        <w:rPr>
          <w:color w:val="000000" w:themeColor="text1"/>
          <w:highlight w:val="none"/>
          <w14:textFill>
            <w14:solidFill>
              <w14:schemeClr w14:val="tx1"/>
            </w14:solidFill>
          </w14:textFill>
        </w:rPr>
        <w:t>X,</w:t>
      </w:r>
      <w:r>
        <w:rPr>
          <w:color w:val="000000" w:themeColor="text1"/>
          <w:spacing w:val="4"/>
          <w:highlight w:val="none"/>
          <w14:textFill>
            <w14:solidFill>
              <w14:schemeClr w14:val="tx1"/>
            </w14:solidFill>
          </w14:textFill>
        </w:rPr>
        <w:t xml:space="preserve"> </w:t>
      </w:r>
      <w:r>
        <w:rPr>
          <w:color w:val="000000" w:themeColor="text1"/>
          <w:highlight w:val="none"/>
          <w14:textFill>
            <w14:solidFill>
              <w14:schemeClr w14:val="tx1"/>
            </w14:solidFill>
          </w14:textFill>
        </w:rPr>
        <w:t>W.</w:t>
      </w:r>
      <w:r>
        <w:rPr>
          <w:color w:val="000000" w:themeColor="text1"/>
          <w:highlight w:val="none"/>
          <w14:textFill>
            <w14:solidFill>
              <w14:schemeClr w14:val="tx1"/>
            </w14:solidFill>
          </w14:textFill>
        </w:rPr>
        <w:tab/>
      </w:r>
      <w:r>
        <w:rPr>
          <w:color w:val="000000" w:themeColor="text1"/>
          <w:spacing w:val="-3"/>
          <w:highlight w:val="none"/>
          <w14:textFill>
            <w14:solidFill>
              <w14:schemeClr w14:val="tx1"/>
            </w14:solidFill>
          </w14:textFill>
        </w:rPr>
        <w:t>,</w:t>
      </w:r>
      <w:r>
        <w:rPr>
          <w:color w:val="000000" w:themeColor="text1"/>
          <w:highlight w:val="none"/>
          <w14:textFill>
            <w14:solidFill>
              <w14:schemeClr w14:val="tx1"/>
            </w14:solidFill>
          </w14:textFill>
        </w:rPr>
        <w:t>程</w:t>
      </w:r>
      <w:r>
        <w:rPr>
          <w:color w:val="000000" w:themeColor="text1"/>
          <w:spacing w:val="-3"/>
          <w:highlight w:val="none"/>
          <w14:textFill>
            <w14:solidFill>
              <w14:schemeClr w14:val="tx1"/>
            </w14:solidFill>
          </w14:textFill>
        </w:rPr>
        <w:t>度</w:t>
      </w:r>
      <w:r>
        <w:rPr>
          <w:color w:val="000000" w:themeColor="text1"/>
          <w:highlight w:val="none"/>
          <w14:textFill>
            <w14:solidFill>
              <w14:schemeClr w14:val="tx1"/>
            </w14:solidFill>
          </w14:textFill>
        </w:rPr>
        <w:t>越来</w:t>
      </w:r>
      <w:r>
        <w:rPr>
          <w:color w:val="000000" w:themeColor="text1"/>
          <w:spacing w:val="-3"/>
          <w:highlight w:val="none"/>
          <w14:textFill>
            <w14:solidFill>
              <w14:schemeClr w14:val="tx1"/>
            </w14:solidFill>
          </w14:textFill>
        </w:rPr>
        <w:t>越</w:t>
      </w:r>
      <w:r>
        <w:rPr>
          <w:color w:val="000000" w:themeColor="text1"/>
          <w:highlight w:val="none"/>
          <w14:textFill>
            <w14:solidFill>
              <w14:schemeClr w14:val="tx1"/>
            </w14:solidFill>
          </w14:textFill>
        </w:rPr>
        <w:t>重），</w:t>
      </w:r>
      <w:r>
        <w:rPr>
          <w:color w:val="000000" w:themeColor="text1"/>
          <w:spacing w:val="-3"/>
          <w:highlight w:val="none"/>
          <w14:textFill>
            <w14:solidFill>
              <w14:schemeClr w14:val="tx1"/>
            </w14:solidFill>
          </w14:textFill>
        </w:rPr>
        <w:t>例如</w:t>
      </w:r>
      <w:r>
        <w:rPr>
          <w:b/>
          <w:color w:val="000000" w:themeColor="text1"/>
          <w:highlight w:val="none"/>
          <w14:textFill>
            <w14:solidFill>
              <w14:schemeClr w14:val="tx1"/>
            </w14:solidFill>
          </w14:textFill>
        </w:rPr>
        <w:t>：</w:t>
      </w:r>
    </w:p>
    <w:p>
      <w:pPr>
        <w:tabs>
          <w:tab w:val="left" w:pos="1533"/>
        </w:tabs>
        <w:spacing w:line="269" w:lineRule="exact"/>
        <w:ind w:left="496"/>
        <w:rPr>
          <w:rFonts w:eastAsia="Times New Roman"/>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b710.2</w:t>
      </w:r>
      <w:r>
        <w:rPr>
          <w:rFonts w:eastAsia="Times New Roman"/>
          <w:color w:val="000000" w:themeColor="text1"/>
          <w:sz w:val="18"/>
          <w:highlight w:val="none"/>
          <w14:textFill>
            <w14:solidFill>
              <w14:schemeClr w14:val="tx1"/>
            </w14:solidFill>
          </w14:textFill>
        </w:rPr>
        <w:tab/>
      </w:r>
      <w:r>
        <w:rPr>
          <w:color w:val="000000" w:themeColor="text1"/>
          <w:spacing w:val="-3"/>
          <w:highlight w:val="none"/>
          <w14:textFill>
            <w14:solidFill>
              <w14:schemeClr w14:val="tx1"/>
            </w14:solidFill>
          </w14:textFill>
        </w:rPr>
        <w:t>关节活动功能</w:t>
      </w:r>
      <w:r>
        <w:rPr>
          <w:b/>
          <w:color w:val="000000" w:themeColor="text1"/>
          <w:highlight w:val="none"/>
          <w14:textFill>
            <w14:solidFill>
              <w14:schemeClr w14:val="tx1"/>
            </w14:solidFill>
          </w14:textFill>
        </w:rPr>
        <w:t>中度</w:t>
      </w:r>
      <w:r>
        <w:rPr>
          <w:color w:val="000000" w:themeColor="text1"/>
          <w:spacing w:val="-3"/>
          <w:highlight w:val="none"/>
          <w14:textFill>
            <w14:solidFill>
              <w14:schemeClr w14:val="tx1"/>
            </w14:solidFill>
          </w14:textFill>
        </w:rPr>
        <w:t>障碍</w:t>
      </w:r>
      <w:r>
        <w:rPr>
          <w:color w:val="000000" w:themeColor="text1"/>
          <w:highlight w:val="none"/>
          <w14:textFill>
            <w14:solidFill>
              <w14:schemeClr w14:val="tx1"/>
            </w14:solidFill>
          </w14:textFill>
        </w:rPr>
        <w:t>（</w:t>
      </w:r>
      <w:r>
        <w:rPr>
          <w:color w:val="000000" w:themeColor="text1"/>
          <w:spacing w:val="-7"/>
          <w:highlight w:val="none"/>
          <w14:textFill>
            <w14:solidFill>
              <w14:schemeClr w14:val="tx1"/>
            </w14:solidFill>
          </w14:textFill>
        </w:rPr>
        <w:t xml:space="preserve">颈部或腰部活动度丧失大于等于 </w:t>
      </w:r>
      <w:r>
        <w:rPr>
          <w:rFonts w:eastAsia="Times New Roman"/>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t>）</w:t>
      </w:r>
      <w:r>
        <w:rPr>
          <w:color w:val="000000" w:themeColor="text1"/>
          <w:spacing w:val="-11"/>
          <w:highlight w:val="none"/>
          <w14:textFill>
            <w14:solidFill>
              <w14:schemeClr w14:val="tx1"/>
            </w14:solidFill>
          </w14:textFill>
        </w:rPr>
        <w:t xml:space="preserve">伤残等级为 </w:t>
      </w:r>
      <w:r>
        <w:rPr>
          <w:rFonts w:eastAsia="Times New Roman"/>
          <w:color w:val="000000" w:themeColor="text1"/>
          <w:highlight w:val="none"/>
          <w14:textFill>
            <w14:solidFill>
              <w14:schemeClr w14:val="tx1"/>
            </w14:solidFill>
          </w14:textFill>
        </w:rPr>
        <w:t>9</w:t>
      </w:r>
    </w:p>
    <w:p>
      <w:pPr>
        <w:tabs>
          <w:tab w:val="left" w:pos="1545"/>
        </w:tabs>
        <w:spacing w:before="43"/>
        <w:ind w:left="496"/>
        <w:rPr>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b710.3</w:t>
      </w:r>
      <w:r>
        <w:rPr>
          <w:rFonts w:eastAsia="Times New Roman"/>
          <w:color w:val="000000" w:themeColor="text1"/>
          <w:sz w:val="18"/>
          <w:highlight w:val="none"/>
          <w14:textFill>
            <w14:solidFill>
              <w14:schemeClr w14:val="tx1"/>
            </w14:solidFill>
          </w14:textFill>
        </w:rPr>
        <w:tab/>
      </w:r>
      <w:r>
        <w:rPr>
          <w:color w:val="000000" w:themeColor="text1"/>
          <w:spacing w:val="-3"/>
          <w:highlight w:val="none"/>
          <w14:textFill>
            <w14:solidFill>
              <w14:schemeClr w14:val="tx1"/>
            </w14:solidFill>
          </w14:textFill>
        </w:rPr>
        <w:t>关节活动功能</w:t>
      </w:r>
      <w:r>
        <w:rPr>
          <w:b/>
          <w:color w:val="000000" w:themeColor="text1"/>
          <w:highlight w:val="none"/>
          <w14:textFill>
            <w14:solidFill>
              <w14:schemeClr w14:val="tx1"/>
            </w14:solidFill>
          </w14:textFill>
        </w:rPr>
        <w:t>重度</w:t>
      </w:r>
      <w:r>
        <w:rPr>
          <w:color w:val="000000" w:themeColor="text1"/>
          <w:spacing w:val="-3"/>
          <w:highlight w:val="none"/>
          <w14:textFill>
            <w14:solidFill>
              <w14:schemeClr w14:val="tx1"/>
            </w14:solidFill>
          </w14:textFill>
        </w:rPr>
        <w:t>障碍</w:t>
      </w:r>
      <w:r>
        <w:rPr>
          <w:color w:val="000000" w:themeColor="text1"/>
          <w:highlight w:val="none"/>
          <w14:textFill>
            <w14:solidFill>
              <w14:schemeClr w14:val="tx1"/>
            </w14:solidFill>
          </w14:textFill>
        </w:rPr>
        <w:t>（</w:t>
      </w:r>
      <w:r>
        <w:rPr>
          <w:color w:val="000000" w:themeColor="text1"/>
          <w:spacing w:val="-7"/>
          <w:highlight w:val="none"/>
          <w14:textFill>
            <w14:solidFill>
              <w14:schemeClr w14:val="tx1"/>
            </w14:solidFill>
          </w14:textFill>
        </w:rPr>
        <w:t xml:space="preserve">颈部或腰部活动度丧失大于等于 </w:t>
      </w:r>
      <w:r>
        <w:rPr>
          <w:color w:val="000000" w:themeColor="text1"/>
          <w:highlight w:val="none"/>
          <w14:textFill>
            <w14:solidFill>
              <w14:schemeClr w14:val="tx1"/>
            </w14:solidFill>
          </w14:textFill>
        </w:rPr>
        <w:t>50%）</w:t>
      </w:r>
      <w:r>
        <w:rPr>
          <w:color w:val="000000" w:themeColor="text1"/>
          <w:spacing w:val="-11"/>
          <w:highlight w:val="none"/>
          <w14:textFill>
            <w14:solidFill>
              <w14:schemeClr w14:val="tx1"/>
            </w14:solidFill>
          </w14:textFill>
        </w:rPr>
        <w:t xml:space="preserve">伤残等级为 </w:t>
      </w:r>
      <w:r>
        <w:rPr>
          <w:color w:val="000000" w:themeColor="text1"/>
          <w:highlight w:val="none"/>
          <w14:textFill>
            <w14:solidFill>
              <w14:schemeClr w14:val="tx1"/>
            </w14:solidFill>
          </w14:textFill>
        </w:rPr>
        <w:t>8</w:t>
      </w:r>
    </w:p>
    <w:p>
      <w:pPr>
        <w:tabs>
          <w:tab w:val="left" w:pos="1545"/>
          <w:tab w:val="left" w:pos="2617"/>
        </w:tabs>
        <w:spacing w:before="43" w:line="278" w:lineRule="auto"/>
        <w:ind w:left="496" w:right="1698"/>
        <w:rPr>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b710.3</w:t>
      </w:r>
      <w:r>
        <w:rPr>
          <w:rFonts w:eastAsia="Times New Roman"/>
          <w:color w:val="000000" w:themeColor="text1"/>
          <w:sz w:val="18"/>
          <w:highlight w:val="none"/>
          <w:u w:val="single"/>
          <w14:textFill>
            <w14:solidFill>
              <w14:schemeClr w14:val="tx1"/>
            </w14:solidFill>
          </w14:textFill>
        </w:rPr>
        <w:t>Z</w:t>
      </w:r>
      <w:r>
        <w:rPr>
          <w:rFonts w:eastAsia="Times New Roman"/>
          <w:color w:val="000000" w:themeColor="text1"/>
          <w:sz w:val="18"/>
          <w:highlight w:val="none"/>
          <w14:textFill>
            <w14:solidFill>
              <w14:schemeClr w14:val="tx1"/>
            </w14:solidFill>
          </w14:textFill>
        </w:rPr>
        <w:tab/>
      </w:r>
      <w:r>
        <w:rPr>
          <w:color w:val="000000" w:themeColor="text1"/>
          <w:spacing w:val="-3"/>
          <w:highlight w:val="none"/>
          <w14:textFill>
            <w14:solidFill>
              <w14:schemeClr w14:val="tx1"/>
            </w14:solidFill>
          </w14:textFill>
        </w:rPr>
        <w:t>关</w:t>
      </w:r>
      <w:r>
        <w:rPr>
          <w:color w:val="000000" w:themeColor="text1"/>
          <w:highlight w:val="none"/>
          <w14:textFill>
            <w14:solidFill>
              <w14:schemeClr w14:val="tx1"/>
            </w14:solidFill>
          </w14:textFill>
        </w:rPr>
        <w:t>节</w:t>
      </w:r>
      <w:r>
        <w:rPr>
          <w:color w:val="000000" w:themeColor="text1"/>
          <w:spacing w:val="-3"/>
          <w:highlight w:val="none"/>
          <w14:textFill>
            <w14:solidFill>
              <w14:schemeClr w14:val="tx1"/>
            </w14:solidFill>
          </w14:textFill>
        </w:rPr>
        <w:t>活</w:t>
      </w:r>
      <w:r>
        <w:rPr>
          <w:color w:val="000000" w:themeColor="text1"/>
          <w:highlight w:val="none"/>
          <w14:textFill>
            <w14:solidFill>
              <w14:schemeClr w14:val="tx1"/>
            </w14:solidFill>
          </w14:textFill>
        </w:rPr>
        <w:t>动</w:t>
      </w:r>
      <w:r>
        <w:rPr>
          <w:color w:val="000000" w:themeColor="text1"/>
          <w:spacing w:val="-3"/>
          <w:highlight w:val="none"/>
          <w14:textFill>
            <w14:solidFill>
              <w14:schemeClr w14:val="tx1"/>
            </w14:solidFill>
          </w14:textFill>
        </w:rPr>
        <w:t>功能</w:t>
      </w:r>
      <w:r>
        <w:rPr>
          <w:b/>
          <w:color w:val="000000" w:themeColor="text1"/>
          <w:highlight w:val="none"/>
          <w14:textFill>
            <w14:solidFill>
              <w14:schemeClr w14:val="tx1"/>
            </w14:solidFill>
          </w14:textFill>
        </w:rPr>
        <w:t>重度</w:t>
      </w:r>
      <w:r>
        <w:rPr>
          <w:color w:val="000000" w:themeColor="text1"/>
          <w:spacing w:val="-3"/>
          <w:highlight w:val="none"/>
          <w14:textFill>
            <w14:solidFill>
              <w14:schemeClr w14:val="tx1"/>
            </w14:solidFill>
          </w14:textFill>
        </w:rPr>
        <w:t>障碍</w:t>
      </w:r>
      <w:r>
        <w:rPr>
          <w:color w:val="000000" w:themeColor="text1"/>
          <w:highlight w:val="none"/>
          <w14:textFill>
            <w14:solidFill>
              <w14:schemeClr w14:val="tx1"/>
            </w14:solidFill>
          </w14:textFill>
        </w:rPr>
        <w:t>（颈</w:t>
      </w:r>
      <w:r>
        <w:rPr>
          <w:color w:val="000000" w:themeColor="text1"/>
          <w:spacing w:val="-3"/>
          <w:highlight w:val="none"/>
          <w14:textFill>
            <w14:solidFill>
              <w14:schemeClr w14:val="tx1"/>
            </w14:solidFill>
          </w14:textFill>
        </w:rPr>
        <w:t>部</w:t>
      </w:r>
      <w:r>
        <w:rPr>
          <w:color w:val="000000" w:themeColor="text1"/>
          <w:highlight w:val="none"/>
          <w14:textFill>
            <w14:solidFill>
              <w14:schemeClr w14:val="tx1"/>
            </w14:solidFill>
          </w14:textFill>
        </w:rPr>
        <w:t>或</w:t>
      </w:r>
      <w:r>
        <w:rPr>
          <w:color w:val="000000" w:themeColor="text1"/>
          <w:spacing w:val="-3"/>
          <w:highlight w:val="none"/>
          <w14:textFill>
            <w14:solidFill>
              <w14:schemeClr w14:val="tx1"/>
            </w14:solidFill>
          </w14:textFill>
        </w:rPr>
        <w:t>腰</w:t>
      </w:r>
      <w:r>
        <w:rPr>
          <w:color w:val="000000" w:themeColor="text1"/>
          <w:highlight w:val="none"/>
          <w14:textFill>
            <w14:solidFill>
              <w14:schemeClr w14:val="tx1"/>
            </w14:solidFill>
          </w14:textFill>
        </w:rPr>
        <w:t>部</w:t>
      </w:r>
      <w:r>
        <w:rPr>
          <w:color w:val="000000" w:themeColor="text1"/>
          <w:spacing w:val="-3"/>
          <w:highlight w:val="none"/>
          <w14:textFill>
            <w14:solidFill>
              <w14:schemeClr w14:val="tx1"/>
            </w14:solidFill>
          </w14:textFill>
        </w:rPr>
        <w:t>活</w:t>
      </w:r>
      <w:r>
        <w:rPr>
          <w:color w:val="000000" w:themeColor="text1"/>
          <w:highlight w:val="none"/>
          <w14:textFill>
            <w14:solidFill>
              <w14:schemeClr w14:val="tx1"/>
            </w14:solidFill>
          </w14:textFill>
        </w:rPr>
        <w:t>动</w:t>
      </w:r>
      <w:r>
        <w:rPr>
          <w:color w:val="000000" w:themeColor="text1"/>
          <w:spacing w:val="-3"/>
          <w:highlight w:val="none"/>
          <w14:textFill>
            <w14:solidFill>
              <w14:schemeClr w14:val="tx1"/>
            </w14:solidFill>
          </w14:textFill>
        </w:rPr>
        <w:t>度</w:t>
      </w:r>
      <w:r>
        <w:rPr>
          <w:color w:val="000000" w:themeColor="text1"/>
          <w:highlight w:val="none"/>
          <w14:textFill>
            <w14:solidFill>
              <w14:schemeClr w14:val="tx1"/>
            </w14:solidFill>
          </w14:textFill>
        </w:rPr>
        <w:t>丧</w:t>
      </w:r>
      <w:r>
        <w:rPr>
          <w:color w:val="000000" w:themeColor="text1"/>
          <w:spacing w:val="-3"/>
          <w:highlight w:val="none"/>
          <w14:textFill>
            <w14:solidFill>
              <w14:schemeClr w14:val="tx1"/>
            </w14:solidFill>
          </w14:textFill>
        </w:rPr>
        <w:t>失</w:t>
      </w:r>
      <w:r>
        <w:rPr>
          <w:color w:val="000000" w:themeColor="text1"/>
          <w:highlight w:val="none"/>
          <w14:textFill>
            <w14:solidFill>
              <w14:schemeClr w14:val="tx1"/>
            </w14:solidFill>
          </w14:textFill>
        </w:rPr>
        <w:t>大于</w:t>
      </w:r>
      <w:r>
        <w:rPr>
          <w:color w:val="000000" w:themeColor="text1"/>
          <w:spacing w:val="-3"/>
          <w:highlight w:val="none"/>
          <w14:textFill>
            <w14:solidFill>
              <w14:schemeClr w14:val="tx1"/>
            </w14:solidFill>
          </w14:textFill>
        </w:rPr>
        <w:t>等</w:t>
      </w:r>
      <w:r>
        <w:rPr>
          <w:color w:val="000000" w:themeColor="text1"/>
          <w:highlight w:val="none"/>
          <w14:textFill>
            <w14:solidFill>
              <w14:schemeClr w14:val="tx1"/>
            </w14:solidFill>
          </w14:textFill>
        </w:rPr>
        <w:t>于</w:t>
      </w:r>
      <w:r>
        <w:rPr>
          <w:color w:val="000000" w:themeColor="text1"/>
          <w:spacing w:val="-40"/>
          <w:highlight w:val="none"/>
          <w14:textFill>
            <w14:solidFill>
              <w14:schemeClr w14:val="tx1"/>
            </w14:solidFill>
          </w14:textFill>
        </w:rPr>
        <w:t xml:space="preserve"> </w:t>
      </w:r>
      <w:r>
        <w:rPr>
          <w:color w:val="000000" w:themeColor="text1"/>
          <w:highlight w:val="none"/>
          <w14:textFill>
            <w14:solidFill>
              <w14:schemeClr w14:val="tx1"/>
            </w14:solidFill>
          </w14:textFill>
        </w:rPr>
        <w:t>75%）伤</w:t>
      </w:r>
      <w:r>
        <w:rPr>
          <w:color w:val="000000" w:themeColor="text1"/>
          <w:spacing w:val="-3"/>
          <w:highlight w:val="none"/>
          <w14:textFill>
            <w14:solidFill>
              <w14:schemeClr w14:val="tx1"/>
            </w14:solidFill>
          </w14:textFill>
        </w:rPr>
        <w:t>残</w:t>
      </w:r>
      <w:r>
        <w:rPr>
          <w:color w:val="000000" w:themeColor="text1"/>
          <w:highlight w:val="none"/>
          <w14:textFill>
            <w14:solidFill>
              <w14:schemeClr w14:val="tx1"/>
            </w14:solidFill>
          </w14:textFill>
        </w:rPr>
        <w:t>等</w:t>
      </w:r>
      <w:r>
        <w:rPr>
          <w:color w:val="000000" w:themeColor="text1"/>
          <w:spacing w:val="-3"/>
          <w:highlight w:val="none"/>
          <w14:textFill>
            <w14:solidFill>
              <w14:schemeClr w14:val="tx1"/>
            </w14:solidFill>
          </w14:textFill>
        </w:rPr>
        <w:t>级</w:t>
      </w:r>
      <w:r>
        <w:rPr>
          <w:color w:val="000000" w:themeColor="text1"/>
          <w:highlight w:val="none"/>
          <w14:textFill>
            <w14:solidFill>
              <w14:schemeClr w14:val="tx1"/>
            </w14:solidFill>
          </w14:textFill>
        </w:rPr>
        <w:t>为</w:t>
      </w:r>
      <w:r>
        <w:rPr>
          <w:color w:val="000000" w:themeColor="text1"/>
          <w:spacing w:val="-38"/>
          <w:highlight w:val="none"/>
          <w14:textFill>
            <w14:solidFill>
              <w14:schemeClr w14:val="tx1"/>
            </w14:solidFill>
          </w14:textFill>
        </w:rPr>
        <w:t xml:space="preserve"> </w:t>
      </w:r>
      <w:r>
        <w:rPr>
          <w:color w:val="000000" w:themeColor="text1"/>
          <w:highlight w:val="none"/>
          <w14:textFill>
            <w14:solidFill>
              <w14:schemeClr w14:val="tx1"/>
            </w14:solidFill>
          </w14:textFill>
        </w:rPr>
        <w:t>7 又例</w:t>
      </w:r>
      <w:r>
        <w:rPr>
          <w:color w:val="000000" w:themeColor="text1"/>
          <w:spacing w:val="-3"/>
          <w:highlight w:val="none"/>
          <w14:textFill>
            <w14:solidFill>
              <w14:schemeClr w14:val="tx1"/>
            </w14:solidFill>
          </w14:textFill>
        </w:rPr>
        <w:t>如</w:t>
      </w:r>
      <w:r>
        <w:rPr>
          <w:color w:val="000000" w:themeColor="text1"/>
          <w:highlight w:val="none"/>
          <w14:textFill>
            <w14:solidFill>
              <w14:schemeClr w14:val="tx1"/>
            </w14:solidFill>
          </w14:textFill>
        </w:rPr>
        <w:t>:</w:t>
      </w:r>
      <w:r>
        <w:rPr>
          <w:color w:val="000000" w:themeColor="text1"/>
          <w:spacing w:val="-15"/>
          <w:highlight w:val="none"/>
          <w14:textFill>
            <w14:solidFill>
              <w14:schemeClr w14:val="tx1"/>
            </w14:solidFill>
          </w14:textFill>
        </w:rPr>
        <w:t xml:space="preserve"> </w:t>
      </w:r>
      <w:r>
        <w:rPr>
          <w:rFonts w:eastAsia="Times New Roman"/>
          <w:color w:val="000000" w:themeColor="text1"/>
          <w:sz w:val="18"/>
          <w:highlight w:val="none"/>
          <w14:textFill>
            <w14:solidFill>
              <w14:schemeClr w14:val="tx1"/>
            </w14:solidFill>
          </w14:textFill>
        </w:rPr>
        <w:t>s4302A.120</w:t>
      </w:r>
      <w:r>
        <w:rPr>
          <w:rFonts w:eastAsia="Times New Roman"/>
          <w:color w:val="000000" w:themeColor="text1"/>
          <w:sz w:val="18"/>
          <w:highlight w:val="none"/>
          <w14:textFill>
            <w14:solidFill>
              <w14:schemeClr w14:val="tx1"/>
            </w14:solidFill>
          </w14:textFill>
        </w:rPr>
        <w:tab/>
      </w:r>
      <w:r>
        <w:rPr>
          <w:color w:val="000000" w:themeColor="text1"/>
          <w:spacing w:val="-3"/>
          <w:highlight w:val="none"/>
          <w14:textFill>
            <w14:solidFill>
              <w14:schemeClr w14:val="tx1"/>
            </w14:solidFill>
          </w14:textFill>
        </w:rPr>
        <w:t>胸</w:t>
      </w:r>
      <w:r>
        <w:rPr>
          <w:color w:val="000000" w:themeColor="text1"/>
          <w:highlight w:val="none"/>
          <w14:textFill>
            <w14:solidFill>
              <w14:schemeClr w14:val="tx1"/>
            </w14:solidFill>
          </w14:textFill>
        </w:rPr>
        <w:t>部损</w:t>
      </w:r>
      <w:r>
        <w:rPr>
          <w:color w:val="000000" w:themeColor="text1"/>
          <w:spacing w:val="-3"/>
          <w:highlight w:val="none"/>
          <w14:textFill>
            <w14:solidFill>
              <w14:schemeClr w14:val="tx1"/>
            </w14:solidFill>
          </w14:textFill>
        </w:rPr>
        <w:t>伤</w:t>
      </w:r>
      <w:r>
        <w:rPr>
          <w:color w:val="000000" w:themeColor="text1"/>
          <w:highlight w:val="none"/>
          <w14:textFill>
            <w14:solidFill>
              <w14:schemeClr w14:val="tx1"/>
            </w14:solidFill>
          </w14:textFill>
        </w:rPr>
        <w:t>导</w:t>
      </w:r>
      <w:r>
        <w:rPr>
          <w:color w:val="000000" w:themeColor="text1"/>
          <w:spacing w:val="-3"/>
          <w:highlight w:val="none"/>
          <w14:textFill>
            <w14:solidFill>
              <w14:schemeClr w14:val="tx1"/>
            </w14:solidFill>
          </w14:textFill>
        </w:rPr>
        <w:t>致</w:t>
      </w:r>
      <w:r>
        <w:rPr>
          <w:color w:val="000000" w:themeColor="text1"/>
          <w:highlight w:val="none"/>
          <w14:textFill>
            <w14:solidFill>
              <w14:schemeClr w14:val="tx1"/>
            </w14:solidFill>
          </w14:textFill>
        </w:rPr>
        <w:t>大</w:t>
      </w:r>
      <w:r>
        <w:rPr>
          <w:color w:val="000000" w:themeColor="text1"/>
          <w:spacing w:val="-3"/>
          <w:highlight w:val="none"/>
          <w14:textFill>
            <w14:solidFill>
              <w14:schemeClr w14:val="tx1"/>
            </w14:solidFill>
          </w14:textFill>
        </w:rPr>
        <w:t>于等</w:t>
      </w:r>
      <w:r>
        <w:rPr>
          <w:color w:val="000000" w:themeColor="text1"/>
          <w:highlight w:val="none"/>
          <w14:textFill>
            <w14:solidFill>
              <w14:schemeClr w14:val="tx1"/>
            </w14:solidFill>
          </w14:textFill>
        </w:rPr>
        <w:t>于</w:t>
      </w:r>
      <w:r>
        <w:rPr>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2</w:t>
      </w:r>
      <w:r>
        <w:rPr>
          <w:color w:val="000000" w:themeColor="text1"/>
          <w:spacing w:val="-5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根</w:t>
      </w:r>
      <w:r>
        <w:rPr>
          <w:color w:val="000000" w:themeColor="text1"/>
          <w:highlight w:val="none"/>
          <w14:textFill>
            <w14:solidFill>
              <w14:schemeClr w14:val="tx1"/>
            </w14:solidFill>
          </w14:textFill>
        </w:rPr>
        <w:t>肋骨</w:t>
      </w:r>
      <w:r>
        <w:rPr>
          <w:color w:val="000000" w:themeColor="text1"/>
          <w:spacing w:val="-3"/>
          <w:highlight w:val="none"/>
          <w14:textFill>
            <w14:solidFill>
              <w14:schemeClr w14:val="tx1"/>
            </w14:solidFill>
          </w14:textFill>
        </w:rPr>
        <w:t>缺</w:t>
      </w:r>
      <w:r>
        <w:rPr>
          <w:color w:val="000000" w:themeColor="text1"/>
          <w:highlight w:val="none"/>
          <w14:textFill>
            <w14:solidFill>
              <w14:schemeClr w14:val="tx1"/>
            </w14:solidFill>
          </w14:textFill>
        </w:rPr>
        <w:t>失</w:t>
      </w:r>
    </w:p>
    <w:p>
      <w:pPr>
        <w:tabs>
          <w:tab w:val="left" w:pos="2634"/>
        </w:tabs>
        <w:spacing w:line="269" w:lineRule="exact"/>
        <w:ind w:left="1348"/>
        <w:rPr>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s4302A.120</w:t>
      </w:r>
      <w:r>
        <w:rPr>
          <w:rFonts w:eastAsia="Times New Roman"/>
          <w:color w:val="000000" w:themeColor="text1"/>
          <w:sz w:val="18"/>
          <w:highlight w:val="none"/>
          <w:u w:val="single"/>
          <w14:textFill>
            <w14:solidFill>
              <w14:schemeClr w14:val="tx1"/>
            </w14:solidFill>
          </w14:textFill>
        </w:rPr>
        <w:t>Z</w:t>
      </w:r>
      <w:r>
        <w:rPr>
          <w:rFonts w:eastAsia="Times New Roman"/>
          <w:color w:val="000000" w:themeColor="text1"/>
          <w:sz w:val="18"/>
          <w:highlight w:val="none"/>
          <w14:textFill>
            <w14:solidFill>
              <w14:schemeClr w14:val="tx1"/>
            </w14:solidFill>
          </w14:textFill>
        </w:rPr>
        <w:tab/>
      </w:r>
      <w:r>
        <w:rPr>
          <w:color w:val="000000" w:themeColor="text1"/>
          <w:spacing w:val="-7"/>
          <w:highlight w:val="none"/>
          <w14:textFill>
            <w14:solidFill>
              <w14:schemeClr w14:val="tx1"/>
            </w14:solidFill>
          </w14:textFill>
        </w:rPr>
        <w:t xml:space="preserve">胸部损伤导致大于等于 </w:t>
      </w:r>
      <w:r>
        <w:rPr>
          <w:color w:val="000000" w:themeColor="text1"/>
          <w:highlight w:val="none"/>
          <w14:textFill>
            <w14:solidFill>
              <w14:schemeClr w14:val="tx1"/>
            </w14:solidFill>
          </w14:textFill>
        </w:rPr>
        <w:t>4</w:t>
      </w:r>
      <w:r>
        <w:rPr>
          <w:color w:val="000000" w:themeColor="text1"/>
          <w:spacing w:val="-10"/>
          <w:highlight w:val="none"/>
          <w14:textFill>
            <w14:solidFill>
              <w14:schemeClr w14:val="tx1"/>
            </w14:solidFill>
          </w14:textFill>
        </w:rPr>
        <w:t xml:space="preserve"> 根肋骨缺失</w:t>
      </w:r>
    </w:p>
    <w:p>
      <w:pPr>
        <w:pStyle w:val="8"/>
        <w:spacing w:before="42" w:line="278" w:lineRule="auto"/>
        <w:ind w:left="496" w:right="428" w:firstLine="4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说明损伤的部位，</w:t>
      </w:r>
      <w:r>
        <w:rPr>
          <w:rFonts w:ascii="Times New Roman" w:eastAsia="Times New Roman"/>
          <w:color w:val="000000" w:themeColor="text1"/>
          <w:spacing w:val="-8"/>
          <w:highlight w:val="none"/>
          <w14:textFill>
            <w14:solidFill>
              <w14:schemeClr w14:val="tx1"/>
            </w14:solidFill>
          </w14:textFill>
        </w:rPr>
        <w:t>1</w:t>
      </w:r>
      <w:r>
        <w:rPr>
          <w:color w:val="000000" w:themeColor="text1"/>
          <w:spacing w:val="-2"/>
          <w:highlight w:val="none"/>
          <w14:textFill>
            <w14:solidFill>
              <w14:schemeClr w14:val="tx1"/>
            </w14:solidFill>
          </w14:textFill>
        </w:rPr>
        <w:t>（右侧</w:t>
      </w:r>
      <w:r>
        <w:rPr>
          <w:color w:val="000000" w:themeColor="text1"/>
          <w:spacing w:val="-106"/>
          <w:highlight w:val="none"/>
          <w14:textFill>
            <w14:solidFill>
              <w14:schemeClr w14:val="tx1"/>
            </w14:solidFill>
          </w14:textFill>
        </w:rPr>
        <w:t>）</w:t>
      </w:r>
      <w:r>
        <w:rPr>
          <w:color w:val="000000" w:themeColor="text1"/>
          <w:spacing w:val="-5"/>
          <w:highlight w:val="none"/>
          <w14:textFill>
            <w14:solidFill>
              <w14:schemeClr w14:val="tx1"/>
            </w14:solidFill>
          </w14:textFill>
        </w:rPr>
        <w:t>，</w:t>
      </w:r>
      <w:r>
        <w:rPr>
          <w:rFonts w:ascii="Times New Roman" w:eastAsia="Times New Roman"/>
          <w:color w:val="000000" w:themeColor="text1"/>
          <w:spacing w:val="-8"/>
          <w:highlight w:val="none"/>
          <w14:textFill>
            <w14:solidFill>
              <w14:schemeClr w14:val="tx1"/>
            </w14:solidFill>
          </w14:textFill>
        </w:rPr>
        <w:t>2</w:t>
      </w:r>
      <w:r>
        <w:rPr>
          <w:color w:val="000000" w:themeColor="text1"/>
          <w:highlight w:val="none"/>
          <w14:textFill>
            <w14:solidFill>
              <w14:schemeClr w14:val="tx1"/>
            </w14:solidFill>
          </w14:textFill>
        </w:rPr>
        <w:t>（</w:t>
      </w:r>
      <w:r>
        <w:rPr>
          <w:color w:val="000000" w:themeColor="text1"/>
          <w:spacing w:val="-2"/>
          <w:highlight w:val="none"/>
          <w14:textFill>
            <w14:solidFill>
              <w14:schemeClr w14:val="tx1"/>
            </w14:solidFill>
          </w14:textFill>
        </w:rPr>
        <w:t>左侧</w:t>
      </w:r>
      <w:r>
        <w:rPr>
          <w:color w:val="000000" w:themeColor="text1"/>
          <w:spacing w:val="-108"/>
          <w:highlight w:val="none"/>
          <w14:textFill>
            <w14:solidFill>
              <w14:schemeClr w14:val="tx1"/>
            </w14:solidFill>
          </w14:textFill>
        </w:rPr>
        <w:t>）</w:t>
      </w:r>
      <w:r>
        <w:rPr>
          <w:color w:val="000000" w:themeColor="text1"/>
          <w:spacing w:val="-5"/>
          <w:highlight w:val="none"/>
          <w14:textFill>
            <w14:solidFill>
              <w14:schemeClr w14:val="tx1"/>
            </w14:solidFill>
          </w14:textFill>
        </w:rPr>
        <w:t>，</w:t>
      </w:r>
      <w:r>
        <w:rPr>
          <w:rFonts w:ascii="Times New Roman" w:eastAsia="Times New Roman"/>
          <w:color w:val="000000" w:themeColor="text1"/>
          <w:spacing w:val="-8"/>
          <w:highlight w:val="none"/>
          <w14:textFill>
            <w14:solidFill>
              <w14:schemeClr w14:val="tx1"/>
            </w14:solidFill>
          </w14:textFill>
        </w:rPr>
        <w:t>3</w:t>
      </w:r>
      <w:r>
        <w:rPr>
          <w:color w:val="000000" w:themeColor="text1"/>
          <w:highlight w:val="none"/>
          <w14:textFill>
            <w14:solidFill>
              <w14:schemeClr w14:val="tx1"/>
            </w14:solidFill>
          </w14:textFill>
        </w:rPr>
        <w:t>（</w:t>
      </w:r>
      <w:r>
        <w:rPr>
          <w:color w:val="000000" w:themeColor="text1"/>
          <w:spacing w:val="-2"/>
          <w:highlight w:val="none"/>
          <w14:textFill>
            <w14:solidFill>
              <w14:schemeClr w14:val="tx1"/>
            </w14:solidFill>
          </w14:textFill>
        </w:rPr>
        <w:t>双侧</w:t>
      </w:r>
      <w:r>
        <w:rPr>
          <w:color w:val="000000" w:themeColor="text1"/>
          <w:spacing w:val="-108"/>
          <w:highlight w:val="none"/>
          <w14:textFill>
            <w14:solidFill>
              <w14:schemeClr w14:val="tx1"/>
            </w14:solidFill>
          </w14:textFill>
        </w:rPr>
        <w:t>）</w:t>
      </w:r>
      <w:r>
        <w:rPr>
          <w:color w:val="000000" w:themeColor="text1"/>
          <w:spacing w:val="-8"/>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rFonts w:ascii="Times New Roman" w:eastAsia="Times New Roman"/>
          <w:color w:val="000000" w:themeColor="text1"/>
          <w:spacing w:val="-2"/>
          <w:highlight w:val="none"/>
          <w14:textFill>
            <w14:solidFill>
              <w14:schemeClr w14:val="tx1"/>
            </w14:solidFill>
          </w14:textFill>
        </w:rPr>
        <w:t>/</w:t>
      </w:r>
      <w:r>
        <w:rPr>
          <w:rFonts w:ascii="Times New Roman" w:eastAsia="Times New Roman"/>
          <w:color w:val="000000" w:themeColor="text1"/>
          <w:spacing w:val="-5"/>
          <w:highlight w:val="none"/>
          <w14:textFill>
            <w14:solidFill>
              <w14:schemeClr w14:val="tx1"/>
            </w14:solidFill>
          </w14:textFill>
        </w:rPr>
        <w:t>2</w:t>
      </w:r>
      <w:r>
        <w:rPr>
          <w:color w:val="000000" w:themeColor="text1"/>
          <w:highlight w:val="none"/>
          <w14:textFill>
            <w14:solidFill>
              <w14:schemeClr w14:val="tx1"/>
            </w14:solidFill>
          </w14:textFill>
        </w:rPr>
        <w:t>（</w:t>
      </w:r>
      <w:r>
        <w:rPr>
          <w:color w:val="000000" w:themeColor="text1"/>
          <w:spacing w:val="-4"/>
          <w:highlight w:val="none"/>
          <w14:textFill>
            <w14:solidFill>
              <w14:schemeClr w14:val="tx1"/>
            </w14:solidFill>
          </w14:textFill>
        </w:rPr>
        <w:t xml:space="preserve">特指一侧，右侧或左侧 </w:t>
      </w:r>
      <w:r>
        <w:rPr>
          <w:rFonts w:ascii="Times New Roman" w:eastAsia="Times New Roman"/>
          <w:color w:val="000000" w:themeColor="text1"/>
          <w:highlight w:val="none"/>
          <w14:textFill>
            <w14:solidFill>
              <w14:schemeClr w14:val="tx1"/>
            </w14:solidFill>
          </w14:textFill>
        </w:rPr>
        <w:t>2</w:t>
      </w:r>
      <w:r>
        <w:rPr>
          <w:rFonts w:ascii="Times New Roman" w:eastAsia="Times New Roman"/>
          <w:color w:val="000000" w:themeColor="text1"/>
          <w:spacing w:val="-2"/>
          <w:highlight w:val="none"/>
          <w14:textFill>
            <w14:solidFill>
              <w14:schemeClr w14:val="tx1"/>
            </w14:solidFill>
          </w14:textFill>
        </w:rPr>
        <w:t>/</w:t>
      </w:r>
      <w:r>
        <w:rPr>
          <w:rFonts w:ascii="Times New Roman" w:eastAsia="Times New Roman"/>
          <w:color w:val="000000" w:themeColor="text1"/>
          <w:spacing w:val="-1"/>
          <w:highlight w:val="none"/>
          <w14:textFill>
            <w14:solidFill>
              <w14:schemeClr w14:val="tx1"/>
            </w14:solidFill>
          </w14:textFill>
        </w:rPr>
        <w:t>1</w:t>
      </w:r>
      <w:r>
        <w:rPr>
          <w:color w:val="000000" w:themeColor="text1"/>
          <w:spacing w:val="-108"/>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特指另一侧（</w:t>
      </w:r>
      <w:r>
        <w:rPr>
          <w:color w:val="000000" w:themeColor="text1"/>
          <w:spacing w:val="-3"/>
          <w:highlight w:val="none"/>
          <w14:textFill>
            <w14:solidFill>
              <w14:schemeClr w14:val="tx1"/>
            </w14:solidFill>
          </w14:textFill>
        </w:rPr>
        <w:t>右侧或左侧</w:t>
      </w:r>
      <w:r>
        <w:rPr>
          <w:color w:val="000000" w:themeColor="text1"/>
          <w:spacing w:val="-106"/>
          <w:highlight w:val="none"/>
          <w14:textFill>
            <w14:solidFill>
              <w14:schemeClr w14:val="tx1"/>
            </w14:solidFill>
          </w14:textFill>
        </w:rPr>
        <w:t>）</w:t>
      </w:r>
      <w:r>
        <w:rPr>
          <w:color w:val="000000" w:themeColor="text1"/>
          <w:highlight w:val="none"/>
          <w14:textFill>
            <w14:solidFill>
              <w14:schemeClr w14:val="tx1"/>
            </w14:solidFill>
          </w14:textFill>
        </w:rPr>
        <w:t>。</w:t>
      </w:r>
    </w:p>
    <w:p>
      <w:pPr>
        <w:tabs>
          <w:tab w:val="left" w:pos="1336"/>
          <w:tab w:val="left" w:pos="2281"/>
        </w:tabs>
        <w:spacing w:line="269" w:lineRule="exact"/>
        <w:ind w:left="49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例如</w:t>
      </w:r>
      <w:r>
        <w:rPr>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ab/>
      </w:r>
      <w:r>
        <w:rPr>
          <w:rFonts w:eastAsia="Times New Roman"/>
          <w:color w:val="000000" w:themeColor="text1"/>
          <w:sz w:val="18"/>
          <w:highlight w:val="none"/>
          <w14:textFill>
            <w14:solidFill>
              <w14:schemeClr w14:val="tx1"/>
            </w14:solidFill>
          </w14:textFill>
        </w:rPr>
        <w:t>b210.4</w:t>
      </w:r>
      <w:r>
        <w:rPr>
          <w:rFonts w:eastAsia="Times New Roman"/>
          <w:color w:val="000000" w:themeColor="text1"/>
          <w:sz w:val="18"/>
          <w:highlight w:val="none"/>
          <w:u w:val="single"/>
          <w14:textFill>
            <w14:solidFill>
              <w14:schemeClr w14:val="tx1"/>
            </w14:solidFill>
          </w14:textFill>
        </w:rPr>
        <w:t>3</w:t>
      </w:r>
      <w:r>
        <w:rPr>
          <w:rFonts w:eastAsia="Times New Roman"/>
          <w:color w:val="000000" w:themeColor="text1"/>
          <w:sz w:val="18"/>
          <w:highlight w:val="none"/>
          <w14:textFill>
            <w14:solidFill>
              <w14:schemeClr w14:val="tx1"/>
            </w14:solidFill>
          </w14:textFill>
        </w:rPr>
        <w:tab/>
      </w:r>
      <w:r>
        <w:rPr>
          <w:color w:val="000000" w:themeColor="text1"/>
          <w:highlight w:val="none"/>
          <w14:textFill>
            <w14:solidFill>
              <w14:schemeClr w14:val="tx1"/>
            </w14:solidFill>
          </w14:textFill>
        </w:rPr>
        <w:t>双</w:t>
      </w:r>
      <w:r>
        <w:rPr>
          <w:color w:val="000000" w:themeColor="text1"/>
          <w:spacing w:val="-3"/>
          <w:highlight w:val="none"/>
          <w14:textFill>
            <w14:solidFill>
              <w14:schemeClr w14:val="tx1"/>
            </w14:solidFill>
          </w14:textFill>
        </w:rPr>
        <w:t>眼</w:t>
      </w:r>
      <w:r>
        <w:rPr>
          <w:color w:val="000000" w:themeColor="text1"/>
          <w:highlight w:val="none"/>
          <w14:textFill>
            <w14:solidFill>
              <w14:schemeClr w14:val="tx1"/>
            </w14:solidFill>
          </w14:textFill>
        </w:rPr>
        <w:t>盲</w:t>
      </w:r>
      <w:r>
        <w:rPr>
          <w:color w:val="000000" w:themeColor="text1"/>
          <w:spacing w:val="-3"/>
          <w:highlight w:val="none"/>
          <w14:textFill>
            <w14:solidFill>
              <w14:schemeClr w14:val="tx1"/>
            </w14:solidFill>
          </w14:textFill>
        </w:rPr>
        <w:t>目</w:t>
      </w:r>
      <w:r>
        <w:rPr>
          <w:color w:val="000000" w:themeColor="text1"/>
          <w:highlight w:val="none"/>
          <w14:textFill>
            <w14:solidFill>
              <w14:schemeClr w14:val="tx1"/>
            </w14:solidFill>
          </w14:textFill>
        </w:rPr>
        <w:t>大</w:t>
      </w:r>
      <w:r>
        <w:rPr>
          <w:color w:val="000000" w:themeColor="text1"/>
          <w:spacing w:val="-3"/>
          <w:highlight w:val="none"/>
          <w14:textFill>
            <w14:solidFill>
              <w14:schemeClr w14:val="tx1"/>
            </w14:solidFill>
          </w14:textFill>
        </w:rPr>
        <w:t>于等</w:t>
      </w:r>
      <w:r>
        <w:rPr>
          <w:color w:val="000000" w:themeColor="text1"/>
          <w:highlight w:val="none"/>
          <w14:textFill>
            <w14:solidFill>
              <w14:schemeClr w14:val="tx1"/>
            </w14:solidFill>
          </w14:textFill>
        </w:rPr>
        <w:t>于</w:t>
      </w:r>
      <w:r>
        <w:rPr>
          <w:color w:val="000000" w:themeColor="text1"/>
          <w:spacing w:val="-52"/>
          <w:highlight w:val="none"/>
          <w14:textFill>
            <w14:solidFill>
              <w14:schemeClr w14:val="tx1"/>
            </w14:solidFill>
          </w14:textFill>
        </w:rPr>
        <w:t xml:space="preserve"> </w:t>
      </w:r>
      <w:r>
        <w:rPr>
          <w:rFonts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级</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rFonts w:eastAsia="Times New Roman"/>
          <w:color w:val="000000" w:themeColor="text1"/>
          <w:highlight w:val="none"/>
          <w14:textFill>
            <w14:solidFill>
              <w14:schemeClr w14:val="tx1"/>
            </w14:solidFill>
          </w14:textFill>
        </w:rPr>
        <w:t xml:space="preserve">3 </w:t>
      </w:r>
      <w:r>
        <w:rPr>
          <w:color w:val="000000" w:themeColor="text1"/>
          <w:spacing w:val="-3"/>
          <w:highlight w:val="none"/>
          <w14:textFill>
            <w14:solidFill>
              <w14:schemeClr w14:val="tx1"/>
            </w14:solidFill>
          </w14:textFill>
        </w:rPr>
        <w:t>代</w:t>
      </w:r>
      <w:r>
        <w:rPr>
          <w:color w:val="000000" w:themeColor="text1"/>
          <w:highlight w:val="none"/>
          <w14:textFill>
            <w14:solidFill>
              <w14:schemeClr w14:val="tx1"/>
            </w14:solidFill>
          </w14:textFill>
        </w:rPr>
        <w:t>表</w:t>
      </w:r>
      <w:r>
        <w:rPr>
          <w:color w:val="000000" w:themeColor="text1"/>
          <w:spacing w:val="-3"/>
          <w:highlight w:val="none"/>
          <w14:textFill>
            <w14:solidFill>
              <w14:schemeClr w14:val="tx1"/>
            </w14:solidFill>
          </w14:textFill>
        </w:rPr>
        <w:t>双</w:t>
      </w:r>
      <w:r>
        <w:rPr>
          <w:color w:val="000000" w:themeColor="text1"/>
          <w:highlight w:val="none"/>
          <w14:textFill>
            <w14:solidFill>
              <w14:schemeClr w14:val="tx1"/>
            </w14:solidFill>
          </w14:textFill>
        </w:rPr>
        <w:t>侧）</w:t>
      </w:r>
    </w:p>
    <w:p>
      <w:pPr>
        <w:pStyle w:val="8"/>
        <w:spacing w:before="44" w:line="278" w:lineRule="auto"/>
        <w:ind w:left="496" w:right="321" w:firstLine="420"/>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使用二级限定值，如果同时存在损伤的程度和损伤的部位，先编码损伤的程度，再编码损伤的部位。例如：</w:t>
      </w:r>
      <w:r>
        <w:rPr>
          <w:rFonts w:ascii="Times New Roman" w:eastAsia="Times New Roman"/>
          <w:color w:val="000000" w:themeColor="text1"/>
          <w:spacing w:val="-15"/>
          <w:highlight w:val="none"/>
          <w14:textFill>
            <w14:solidFill>
              <w14:schemeClr w14:val="tx1"/>
            </w14:solidFill>
          </w14:textFill>
        </w:rPr>
        <w:t>b210.1X3</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 xml:space="preserve">双眼低视力大于等于 </w:t>
      </w:r>
      <w:r>
        <w:rPr>
          <w:rFonts w:ascii="Times New Roman" w:eastAsia="Times New Roman"/>
          <w:color w:val="000000" w:themeColor="text1"/>
          <w:highlight w:val="none"/>
          <w14:textFill>
            <w14:solidFill>
              <w14:schemeClr w14:val="tx1"/>
            </w14:solidFill>
          </w14:textFill>
        </w:rPr>
        <w:t xml:space="preserve">1 </w:t>
      </w:r>
      <w:r>
        <w:rPr>
          <w:color w:val="000000" w:themeColor="text1"/>
          <w:spacing w:val="-1"/>
          <w:highlight w:val="none"/>
          <w14:textFill>
            <w14:solidFill>
              <w14:schemeClr w14:val="tx1"/>
            </w14:solidFill>
          </w14:textFill>
        </w:rPr>
        <w:t xml:space="preserve">级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1X</w:t>
      </w:r>
      <w:r>
        <w:rPr>
          <w:rFonts w:ascii="Times New Roman" w:eastAsia="Times New Roman"/>
          <w:color w:val="000000" w:themeColor="text1"/>
          <w:spacing w:val="25"/>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程度；</w:t>
      </w:r>
      <w:r>
        <w:rPr>
          <w:rFonts w:ascii="Times New Roman" w:eastAsia="Times New Roman"/>
          <w:color w:val="000000" w:themeColor="text1"/>
          <w:highlight w:val="none"/>
          <w14:textFill>
            <w14:solidFill>
              <w14:schemeClr w14:val="tx1"/>
            </w14:solidFill>
          </w14:textFill>
        </w:rPr>
        <w:t xml:space="preserve">3- </w:t>
      </w:r>
      <w:r>
        <w:rPr>
          <w:color w:val="000000" w:themeColor="text1"/>
          <w:spacing w:val="-2"/>
          <w:highlight w:val="none"/>
          <w14:textFill>
            <w14:solidFill>
              <w14:schemeClr w14:val="tx1"/>
            </w14:solidFill>
          </w14:textFill>
        </w:rPr>
        <w:t>双侧</w:t>
      </w:r>
      <w:r>
        <w:rPr>
          <w:color w:val="000000" w:themeColor="text1"/>
          <w:highlight w:val="none"/>
          <w14:textFill>
            <w14:solidFill>
              <w14:schemeClr w14:val="tx1"/>
            </w14:solidFill>
          </w14:textFill>
        </w:rPr>
        <w:t>）。</w:t>
      </w:r>
    </w:p>
    <w:p>
      <w:pPr>
        <w:pStyle w:val="8"/>
        <w:spacing w:line="278" w:lineRule="auto"/>
        <w:ind w:left="496" w:right="510" w:firstLine="420"/>
        <w:rPr>
          <w:color w:val="000000" w:themeColor="text1"/>
          <w:highlight w:val="none"/>
          <w14:textFill>
            <w14:solidFill>
              <w14:schemeClr w14:val="tx1"/>
            </w14:solidFill>
          </w14:textFill>
        </w:rPr>
      </w:pPr>
      <w:r>
        <w:rPr>
          <w:color w:val="000000" w:themeColor="text1"/>
          <w:spacing w:val="-25"/>
          <w:highlight w:val="none"/>
          <w14:textFill>
            <w14:solidFill>
              <w14:schemeClr w14:val="tx1"/>
            </w14:solidFill>
          </w14:textFill>
        </w:rPr>
        <w:t xml:space="preserve">表 </w:t>
      </w:r>
      <w:r>
        <w:rPr>
          <w:rFonts w:ascii="Times New Roman" w:eastAsia="Times New Roman"/>
          <w:color w:val="000000" w:themeColor="text1"/>
          <w:highlight w:val="none"/>
          <w14:textFill>
            <w14:solidFill>
              <w14:schemeClr w14:val="tx1"/>
            </w14:solidFill>
          </w14:textFill>
        </w:rPr>
        <w:t xml:space="preserve">A3 </w:t>
      </w:r>
      <w:r>
        <w:rPr>
          <w:color w:val="000000" w:themeColor="text1"/>
          <w:spacing w:val="-6"/>
          <w:highlight w:val="none"/>
          <w14:textFill>
            <w14:solidFill>
              <w14:schemeClr w14:val="tx1"/>
            </w14:solidFill>
          </w14:textFill>
        </w:rPr>
        <w:t xml:space="preserve">说明视力及视野限定值的具体应用，表 </w:t>
      </w:r>
      <w:r>
        <w:rPr>
          <w:rFonts w:ascii="Times New Roman" w:eastAsia="Times New Roman"/>
          <w:color w:val="000000" w:themeColor="text1"/>
          <w:highlight w:val="none"/>
          <w14:textFill>
            <w14:solidFill>
              <w14:schemeClr w14:val="tx1"/>
            </w14:solidFill>
          </w14:textFill>
        </w:rPr>
        <w:t xml:space="preserve">A4 </w:t>
      </w:r>
      <w:r>
        <w:rPr>
          <w:color w:val="000000" w:themeColor="text1"/>
          <w:spacing w:val="-6"/>
          <w:highlight w:val="none"/>
          <w14:textFill>
            <w14:solidFill>
              <w14:schemeClr w14:val="tx1"/>
            </w14:solidFill>
          </w14:textFill>
        </w:rPr>
        <w:t xml:space="preserve">说明 听力限定值的具体应用，表 </w:t>
      </w:r>
      <w:r>
        <w:rPr>
          <w:rFonts w:ascii="Times New Roman" w:eastAsia="Times New Roman"/>
          <w:color w:val="000000" w:themeColor="text1"/>
          <w:highlight w:val="none"/>
          <w14:textFill>
            <w14:solidFill>
              <w14:schemeClr w14:val="tx1"/>
            </w14:solidFill>
          </w14:textFill>
        </w:rPr>
        <w:t xml:space="preserve">A5 </w:t>
      </w:r>
      <w:r>
        <w:rPr>
          <w:color w:val="000000" w:themeColor="text1"/>
          <w:highlight w:val="none"/>
          <w14:textFill>
            <w14:solidFill>
              <w14:schemeClr w14:val="tx1"/>
            </w14:solidFill>
          </w14:textFill>
        </w:rPr>
        <w:t>说明 肌肉</w:t>
      </w:r>
      <w:r>
        <w:rPr>
          <w:color w:val="000000" w:themeColor="text1"/>
          <w:spacing w:val="-3"/>
          <w:highlight w:val="none"/>
          <w14:textFill>
            <w14:solidFill>
              <w14:schemeClr w14:val="tx1"/>
            </w14:solidFill>
          </w14:textFill>
        </w:rPr>
        <w:t>力量限定值的具体应用。</w:t>
      </w:r>
    </w:p>
    <w:p>
      <w:pPr>
        <w:pStyle w:val="8"/>
        <w:spacing w:before="156"/>
        <w:ind w:left="2549" w:right="1855"/>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A3</w:t>
      </w:r>
    </w:p>
    <w:p>
      <w:pPr>
        <w:pStyle w:val="8"/>
        <w:spacing w:before="9"/>
        <w:rPr>
          <w:rFonts w:ascii="黑体"/>
          <w:color w:val="000000" w:themeColor="text1"/>
          <w:sz w:val="13"/>
          <w:highlight w:val="none"/>
          <w14:textFill>
            <w14:solidFill>
              <w14:schemeClr w14:val="tx1"/>
            </w14:solidFill>
          </w14:textFill>
        </w:rPr>
      </w:pPr>
    </w:p>
    <w:tbl>
      <w:tblPr>
        <w:tblStyle w:val="14"/>
        <w:tblW w:w="9573"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6"/>
        <w:gridCol w:w="4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96"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视力</w:t>
            </w:r>
          </w:p>
        </w:tc>
        <w:tc>
          <w:tcPr>
            <w:tcW w:w="4777"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视野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96"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正常</w:t>
            </w:r>
            <w:r>
              <w:rPr>
                <w:rFonts w:ascii="Times New Roman" w:eastAsia="Times New Roman"/>
                <w:color w:val="000000" w:themeColor="text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0</w:t>
            </w:r>
          </w:p>
        </w:tc>
        <w:tc>
          <w:tcPr>
            <w:tcW w:w="4777"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96"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视力》</w:t>
            </w:r>
            <w:r>
              <w:rPr>
                <w:rFonts w:ascii="Times New Roman" w:eastAsia="Times New Roman"/>
                <w:color w:val="000000" w:themeColor="text1"/>
                <w:sz w:val="18"/>
                <w:highlight w:val="none"/>
                <w14:textFill>
                  <w14:solidFill>
                    <w14:schemeClr w14:val="tx1"/>
                  </w14:solidFill>
                </w14:textFill>
              </w:rPr>
              <w:t xml:space="preserve">0.8- </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0Z</w:t>
            </w:r>
          </w:p>
        </w:tc>
        <w:tc>
          <w:tcPr>
            <w:tcW w:w="4777"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796" w:type="dxa"/>
            <w:vAlign w:val="top"/>
          </w:tcPr>
          <w:p>
            <w:pPr>
              <w:pStyle w:val="24"/>
              <w:spacing w:before="40"/>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0.6</w:t>
            </w:r>
            <w:r>
              <w:rPr>
                <w:color w:val="000000" w:themeColor="text1"/>
                <w:sz w:val="18"/>
                <w:highlight w:val="none"/>
                <w14:textFill>
                  <w14:solidFill>
                    <w14:schemeClr w14:val="tx1"/>
                  </w14:solidFill>
                </w14:textFill>
              </w:rPr>
              <w:t>《视力</w:t>
            </w:r>
            <w:r>
              <w:rPr>
                <w:rFonts w:ascii="Times New Roman" w:eastAsia="Times New Roman"/>
                <w:color w:val="000000" w:themeColor="text1"/>
                <w:sz w:val="18"/>
                <w:highlight w:val="none"/>
                <w14:textFill>
                  <w14:solidFill>
                    <w14:schemeClr w14:val="tx1"/>
                  </w14:solidFill>
                </w14:textFill>
              </w:rPr>
              <w:t xml:space="preserve">&lt;0.8- </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1</w:t>
            </w:r>
          </w:p>
        </w:tc>
        <w:tc>
          <w:tcPr>
            <w:tcW w:w="4777" w:type="dxa"/>
            <w:vAlign w:val="top"/>
          </w:tcPr>
          <w:p>
            <w:pPr>
              <w:pStyle w:val="24"/>
              <w:spacing w:before="40"/>
              <w:rPr>
                <w:rFonts w:ascii="Times New Roman" w:hAnsi="Times New Roman" w:eastAsia="Times New Roman"/>
                <w:color w:val="000000" w:themeColor="text1"/>
                <w:sz w:val="18"/>
                <w:highlight w:val="none"/>
                <w14:textFill>
                  <w14:solidFill>
                    <w14:schemeClr w14:val="tx1"/>
                  </w14:solidFill>
                </w14:textFill>
              </w:rPr>
            </w:pPr>
            <w:r>
              <w:rPr>
                <w:rFonts w:ascii="Times New Roman" w:hAnsi="Times New Roman" w:eastAsia="Times New Roman"/>
                <w:color w:val="000000" w:themeColor="text1"/>
                <w:sz w:val="18"/>
                <w:highlight w:val="none"/>
                <w14:textFill>
                  <w14:solidFill>
                    <w14:schemeClr w14:val="tx1"/>
                  </w14:solidFill>
                </w14:textFill>
              </w:rPr>
              <w:t>80°</w:t>
            </w:r>
            <w:r>
              <w:rPr>
                <w:color w:val="000000" w:themeColor="text1"/>
                <w:sz w:val="18"/>
                <w:highlight w:val="none"/>
                <w14:textFill>
                  <w14:solidFill>
                    <w14:schemeClr w14:val="tx1"/>
                  </w14:solidFill>
                </w14:textFill>
              </w:rPr>
              <w:t>《直径《</w:t>
            </w:r>
            <w:r>
              <w:rPr>
                <w:rFonts w:ascii="Times New Roman" w:hAnsi="Times New Roman" w:eastAsia="Times New Roman"/>
                <w:color w:val="000000" w:themeColor="text1"/>
                <w:sz w:val="18"/>
                <w:highlight w:val="none"/>
                <w14:textFill>
                  <w14:solidFill>
                    <w14:schemeClr w14:val="tx1"/>
                  </w14:solidFill>
                </w14:textFill>
              </w:rPr>
              <w:t>100°- 1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4796" w:type="dxa"/>
            <w:vAlign w:val="top"/>
          </w:tcPr>
          <w:p>
            <w:pPr>
              <w:pStyle w:val="24"/>
              <w:spacing w:before="69"/>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0.4</w:t>
            </w:r>
            <w:r>
              <w:rPr>
                <w:color w:val="000000" w:themeColor="text1"/>
                <w:sz w:val="18"/>
                <w:highlight w:val="none"/>
                <w14:textFill>
                  <w14:solidFill>
                    <w14:schemeClr w14:val="tx1"/>
                  </w14:solidFill>
                </w14:textFill>
              </w:rPr>
              <w:t xml:space="preserve">《视力〈 </w:t>
            </w:r>
            <w:r>
              <w:rPr>
                <w:rFonts w:ascii="Times New Roman" w:eastAsia="Times New Roman"/>
                <w:color w:val="000000" w:themeColor="text1"/>
                <w:sz w:val="18"/>
                <w:highlight w:val="none"/>
                <w14:textFill>
                  <w14:solidFill>
                    <w14:schemeClr w14:val="tx1"/>
                  </w14:solidFill>
                </w14:textFill>
              </w:rPr>
              <w:t xml:space="preserve">0.6- </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1Z</w:t>
            </w:r>
          </w:p>
        </w:tc>
        <w:tc>
          <w:tcPr>
            <w:tcW w:w="4777" w:type="dxa"/>
            <w:vAlign w:val="top"/>
          </w:tcPr>
          <w:p>
            <w:pPr>
              <w:pStyle w:val="24"/>
              <w:spacing w:before="69"/>
              <w:rPr>
                <w:rFonts w:ascii="Times New Roman" w:hAnsi="Times New Roman" w:eastAsia="Times New Roman"/>
                <w:color w:val="000000" w:themeColor="text1"/>
                <w:sz w:val="18"/>
                <w:highlight w:val="none"/>
                <w14:textFill>
                  <w14:solidFill>
                    <w14:schemeClr w14:val="tx1"/>
                  </w14:solidFill>
                </w14:textFill>
              </w:rPr>
            </w:pPr>
            <w:r>
              <w:rPr>
                <w:rFonts w:ascii="Times New Roman" w:hAnsi="Times New Roman" w:eastAsia="Times New Roman"/>
                <w:color w:val="000000" w:themeColor="text1"/>
                <w:sz w:val="18"/>
                <w:highlight w:val="none"/>
                <w14:textFill>
                  <w14:solidFill>
                    <w14:schemeClr w14:val="tx1"/>
                  </w14:solidFill>
                </w14:textFill>
              </w:rPr>
              <w:t>60°</w:t>
            </w:r>
            <w:r>
              <w:rPr>
                <w:color w:val="000000" w:themeColor="text1"/>
                <w:sz w:val="18"/>
                <w:highlight w:val="none"/>
                <w14:textFill>
                  <w14:solidFill>
                    <w14:schemeClr w14:val="tx1"/>
                  </w14:solidFill>
                </w14:textFill>
              </w:rPr>
              <w:t>《直径〈</w:t>
            </w:r>
            <w:r>
              <w:rPr>
                <w:rFonts w:ascii="Times New Roman" w:hAnsi="Times New Roman" w:eastAsia="Times New Roman"/>
                <w:color w:val="000000" w:themeColor="text1"/>
                <w:sz w:val="18"/>
                <w:highlight w:val="none"/>
                <w14:textFill>
                  <w14:solidFill>
                    <w14:schemeClr w14:val="tx1"/>
                  </w14:solidFill>
                </w14:textFill>
              </w:rPr>
              <w:t>80°- 1Z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796"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0.3</w:t>
            </w:r>
            <w:r>
              <w:rPr>
                <w:color w:val="000000" w:themeColor="text1"/>
                <w:sz w:val="18"/>
                <w:highlight w:val="none"/>
                <w14:textFill>
                  <w14:solidFill>
                    <w14:schemeClr w14:val="tx1"/>
                  </w14:solidFill>
                </w14:textFill>
              </w:rPr>
              <w:t>《视力〈</w:t>
            </w:r>
            <w:r>
              <w:rPr>
                <w:rFonts w:ascii="Times New Roman" w:eastAsia="Times New Roman"/>
                <w:color w:val="000000" w:themeColor="text1"/>
                <w:sz w:val="18"/>
                <w:highlight w:val="none"/>
                <w14:textFill>
                  <w14:solidFill>
                    <w14:schemeClr w14:val="tx1"/>
                  </w14:solidFill>
                </w14:textFill>
              </w:rPr>
              <w:t xml:space="preserve">0.4- </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1Y</w:t>
            </w:r>
          </w:p>
        </w:tc>
        <w:tc>
          <w:tcPr>
            <w:tcW w:w="4777" w:type="dxa"/>
            <w:vAlign w:val="top"/>
          </w:tcPr>
          <w:p>
            <w:pPr>
              <w:pStyle w:val="24"/>
              <w:spacing w:before="38"/>
              <w:rPr>
                <w:rFonts w:ascii="Times New Roman" w:hAnsi="Times New Roman" w:eastAsia="Times New Roman"/>
                <w:color w:val="000000" w:themeColor="text1"/>
                <w:sz w:val="18"/>
                <w:highlight w:val="none"/>
                <w14:textFill>
                  <w14:solidFill>
                    <w14:schemeClr w14:val="tx1"/>
                  </w14:solidFill>
                </w14:textFill>
              </w:rPr>
            </w:pPr>
            <w:r>
              <w:rPr>
                <w:rFonts w:ascii="Times New Roman" w:hAnsi="Times New Roman" w:eastAsia="Times New Roman"/>
                <w:color w:val="000000" w:themeColor="text1"/>
                <w:sz w:val="18"/>
                <w:highlight w:val="none"/>
                <w14:textFill>
                  <w14:solidFill>
                    <w14:schemeClr w14:val="tx1"/>
                  </w14:solidFill>
                </w14:textFill>
              </w:rPr>
              <w:t>50°</w:t>
            </w:r>
            <w:r>
              <w:rPr>
                <w:color w:val="000000" w:themeColor="text1"/>
                <w:sz w:val="18"/>
                <w:highlight w:val="none"/>
                <w14:textFill>
                  <w14:solidFill>
                    <w14:schemeClr w14:val="tx1"/>
                  </w14:solidFill>
                </w14:textFill>
              </w:rPr>
              <w:t>《直径〈</w:t>
            </w:r>
            <w:r>
              <w:rPr>
                <w:rFonts w:ascii="Times New Roman" w:hAnsi="Times New Roman" w:eastAsia="Times New Roman"/>
                <w:color w:val="000000" w:themeColor="text1"/>
                <w:sz w:val="18"/>
                <w:highlight w:val="none"/>
                <w14:textFill>
                  <w14:solidFill>
                    <w14:schemeClr w14:val="tx1"/>
                  </w14:solidFill>
                </w14:textFill>
              </w:rPr>
              <w:t>60°- 2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96"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盲目 </w:t>
            </w:r>
            <w:r>
              <w:rPr>
                <w:rFonts w:ascii="Times New Roman" w:eastAsia="Times New Roman"/>
                <w:color w:val="000000" w:themeColor="text1"/>
                <w:sz w:val="18"/>
                <w:highlight w:val="none"/>
                <w14:textFill>
                  <w14:solidFill>
                    <w14:schemeClr w14:val="tx1"/>
                  </w14:solidFill>
                </w14:textFill>
              </w:rPr>
              <w:t xml:space="preserve">1 </w:t>
            </w:r>
            <w:r>
              <w:rPr>
                <w:color w:val="000000" w:themeColor="text1"/>
                <w:sz w:val="18"/>
                <w:highlight w:val="none"/>
                <w14:textFill>
                  <w14:solidFill>
                    <w14:schemeClr w14:val="tx1"/>
                  </w14:solidFill>
                </w14:textFill>
              </w:rPr>
              <w:t xml:space="preserve">级－功能限定值为 </w:t>
            </w:r>
            <w:r>
              <w:rPr>
                <w:rFonts w:ascii="Times New Roman" w:eastAsia="Times New Roman"/>
                <w:color w:val="000000" w:themeColor="text1"/>
                <w:sz w:val="18"/>
                <w:highlight w:val="none"/>
                <w14:textFill>
                  <w14:solidFill>
                    <w14:schemeClr w14:val="tx1"/>
                  </w14:solidFill>
                </w14:textFill>
              </w:rPr>
              <w:t>1X</w:t>
            </w:r>
          </w:p>
        </w:tc>
        <w:tc>
          <w:tcPr>
            <w:tcW w:w="4777" w:type="dxa"/>
            <w:vAlign w:val="top"/>
          </w:tcPr>
          <w:p>
            <w:pPr>
              <w:pStyle w:val="24"/>
              <w:spacing w:before="38"/>
              <w:rPr>
                <w:rFonts w:ascii="Times New Roman" w:hAnsi="Times New Roman" w:eastAsia="Times New Roman"/>
                <w:color w:val="000000" w:themeColor="text1"/>
                <w:sz w:val="18"/>
                <w:highlight w:val="none"/>
                <w14:textFill>
                  <w14:solidFill>
                    <w14:schemeClr w14:val="tx1"/>
                  </w14:solidFill>
                </w14:textFill>
              </w:rPr>
            </w:pPr>
            <w:r>
              <w:rPr>
                <w:rFonts w:ascii="Times New Roman" w:hAnsi="Times New Roman" w:eastAsia="Times New Roman"/>
                <w:color w:val="000000" w:themeColor="text1"/>
                <w:sz w:val="18"/>
                <w:highlight w:val="none"/>
                <w14:textFill>
                  <w14:solidFill>
                    <w14:schemeClr w14:val="tx1"/>
                  </w14:solidFill>
                </w14:textFill>
              </w:rPr>
              <w:t>40°</w:t>
            </w:r>
            <w:r>
              <w:rPr>
                <w:color w:val="000000" w:themeColor="text1"/>
                <w:sz w:val="18"/>
                <w:highlight w:val="none"/>
                <w14:textFill>
                  <w14:solidFill>
                    <w14:schemeClr w14:val="tx1"/>
                  </w14:solidFill>
                </w14:textFill>
              </w:rPr>
              <w:t>《直径〈</w:t>
            </w:r>
            <w:r>
              <w:rPr>
                <w:rFonts w:ascii="Times New Roman" w:hAnsi="Times New Roman" w:eastAsia="Times New Roman"/>
                <w:color w:val="000000" w:themeColor="text1"/>
                <w:sz w:val="18"/>
                <w:highlight w:val="none"/>
                <w14:textFill>
                  <w14:solidFill>
                    <w14:schemeClr w14:val="tx1"/>
                  </w14:solidFill>
                </w14:textFill>
              </w:rPr>
              <w:t>50°- 2Z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796" w:type="dxa"/>
            <w:vAlign w:val="top"/>
          </w:tcPr>
          <w:p>
            <w:pPr>
              <w:pStyle w:val="24"/>
              <w:spacing w:before="40"/>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盲目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 xml:space="preserve">级－功能限定值为 </w:t>
            </w:r>
            <w:r>
              <w:rPr>
                <w:rFonts w:ascii="Times New Roman" w:eastAsia="Times New Roman"/>
                <w:color w:val="000000" w:themeColor="text1"/>
                <w:sz w:val="18"/>
                <w:highlight w:val="none"/>
                <w14:textFill>
                  <w14:solidFill>
                    <w14:schemeClr w14:val="tx1"/>
                  </w14:solidFill>
                </w14:textFill>
              </w:rPr>
              <w:t>2</w:t>
            </w:r>
          </w:p>
        </w:tc>
        <w:tc>
          <w:tcPr>
            <w:tcW w:w="4777" w:type="dxa"/>
            <w:vAlign w:val="top"/>
          </w:tcPr>
          <w:p>
            <w:pPr>
              <w:pStyle w:val="24"/>
              <w:spacing w:before="40"/>
              <w:rPr>
                <w:rFonts w:ascii="Times New Roman" w:hAnsi="Times New Roman" w:eastAsia="Times New Roman"/>
                <w:color w:val="000000" w:themeColor="text1"/>
                <w:sz w:val="18"/>
                <w:highlight w:val="none"/>
                <w14:textFill>
                  <w14:solidFill>
                    <w14:schemeClr w14:val="tx1"/>
                  </w14:solidFill>
                </w14:textFill>
              </w:rPr>
            </w:pPr>
            <w:r>
              <w:rPr>
                <w:rFonts w:ascii="Times New Roman" w:hAnsi="Times New Roman" w:eastAsia="Times New Roman"/>
                <w:color w:val="000000" w:themeColor="text1"/>
                <w:sz w:val="18"/>
                <w:highlight w:val="none"/>
                <w14:textFill>
                  <w14:solidFill>
                    <w14:schemeClr w14:val="tx1"/>
                  </w14:solidFill>
                </w14:textFill>
              </w:rPr>
              <w:t>30°</w:t>
            </w:r>
            <w:r>
              <w:rPr>
                <w:color w:val="000000" w:themeColor="text1"/>
                <w:sz w:val="18"/>
                <w:highlight w:val="none"/>
                <w14:textFill>
                  <w14:solidFill>
                    <w14:schemeClr w14:val="tx1"/>
                  </w14:solidFill>
                </w14:textFill>
              </w:rPr>
              <w:t>《直径〈</w:t>
            </w:r>
            <w:r>
              <w:rPr>
                <w:rFonts w:ascii="Times New Roman" w:hAnsi="Times New Roman" w:eastAsia="Times New Roman"/>
                <w:color w:val="000000" w:themeColor="text1"/>
                <w:sz w:val="18"/>
                <w:highlight w:val="none"/>
                <w14:textFill>
                  <w14:solidFill>
                    <w14:schemeClr w14:val="tx1"/>
                  </w14:solidFill>
                </w14:textFill>
              </w:rPr>
              <w:t>40°- 2Y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96"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盲目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 xml:space="preserve">级－功能限定值为 </w:t>
            </w:r>
            <w:r>
              <w:rPr>
                <w:rFonts w:ascii="Times New Roman" w:eastAsia="Times New Roman"/>
                <w:color w:val="000000" w:themeColor="text1"/>
                <w:sz w:val="18"/>
                <w:highlight w:val="none"/>
                <w14:textFill>
                  <w14:solidFill>
                    <w14:schemeClr w14:val="tx1"/>
                  </w14:solidFill>
                </w14:textFill>
              </w:rPr>
              <w:t>3</w:t>
            </w:r>
          </w:p>
        </w:tc>
        <w:tc>
          <w:tcPr>
            <w:tcW w:w="4777" w:type="dxa"/>
            <w:vAlign w:val="top"/>
          </w:tcPr>
          <w:p>
            <w:pPr>
              <w:pStyle w:val="24"/>
              <w:spacing w:before="38"/>
              <w:rPr>
                <w:rFonts w:ascii="Times New Roman" w:hAnsi="Times New Roman" w:eastAsia="Times New Roman"/>
                <w:color w:val="000000" w:themeColor="text1"/>
                <w:sz w:val="18"/>
                <w:highlight w:val="none"/>
                <w14:textFill>
                  <w14:solidFill>
                    <w14:schemeClr w14:val="tx1"/>
                  </w14:solidFill>
                </w14:textFill>
              </w:rPr>
            </w:pPr>
            <w:r>
              <w:rPr>
                <w:rFonts w:ascii="Times New Roman" w:hAnsi="Times New Roman" w:eastAsia="Times New Roman"/>
                <w:color w:val="000000" w:themeColor="text1"/>
                <w:sz w:val="18"/>
                <w:highlight w:val="none"/>
                <w14:textFill>
                  <w14:solidFill>
                    <w14:schemeClr w14:val="tx1"/>
                  </w14:solidFill>
                </w14:textFill>
              </w:rPr>
              <w:t>20°</w:t>
            </w:r>
            <w:r>
              <w:rPr>
                <w:color w:val="000000" w:themeColor="text1"/>
                <w:sz w:val="18"/>
                <w:highlight w:val="none"/>
                <w14:textFill>
                  <w14:solidFill>
                    <w14:schemeClr w14:val="tx1"/>
                  </w14:solidFill>
                </w14:textFill>
              </w:rPr>
              <w:t>《直径〈</w:t>
            </w:r>
            <w:r>
              <w:rPr>
                <w:rFonts w:ascii="Times New Roman" w:hAnsi="Times New Roman" w:eastAsia="Times New Roman"/>
                <w:color w:val="000000" w:themeColor="text1"/>
                <w:sz w:val="18"/>
                <w:highlight w:val="none"/>
                <w14:textFill>
                  <w14:solidFill>
                    <w14:schemeClr w14:val="tx1"/>
                  </w14:solidFill>
                </w14:textFill>
              </w:rPr>
              <w:t>30°- 2X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96"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盲目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 xml:space="preserve">级－功能限定值为 </w:t>
            </w:r>
            <w:r>
              <w:rPr>
                <w:rFonts w:ascii="Times New Roman" w:eastAsia="Times New Roman"/>
                <w:color w:val="000000" w:themeColor="text1"/>
                <w:sz w:val="18"/>
                <w:highlight w:val="none"/>
                <w14:textFill>
                  <w14:solidFill>
                    <w14:schemeClr w14:val="tx1"/>
                  </w14:solidFill>
                </w14:textFill>
              </w:rPr>
              <w:t>4</w:t>
            </w:r>
          </w:p>
        </w:tc>
        <w:tc>
          <w:tcPr>
            <w:tcW w:w="4777" w:type="dxa"/>
            <w:vAlign w:val="top"/>
          </w:tcPr>
          <w:p>
            <w:pPr>
              <w:pStyle w:val="24"/>
              <w:spacing w:before="38"/>
              <w:rPr>
                <w:color w:val="000000" w:themeColor="text1"/>
                <w:sz w:val="18"/>
                <w:highlight w:val="none"/>
                <w14:textFill>
                  <w14:solidFill>
                    <w14:schemeClr w14:val="tx1"/>
                  </w14:solidFill>
                </w14:textFill>
              </w:rPr>
            </w:pPr>
            <w:r>
              <w:rPr>
                <w:rFonts w:ascii="Times New Roman" w:hAnsi="Times New Roman" w:eastAsia="Times New Roman"/>
                <w:color w:val="000000" w:themeColor="text1"/>
                <w:sz w:val="18"/>
                <w:highlight w:val="none"/>
                <w14:textFill>
                  <w14:solidFill>
                    <w14:schemeClr w14:val="tx1"/>
                  </w14:solidFill>
                </w14:textFill>
              </w:rPr>
              <w:t>10°</w:t>
            </w:r>
            <w:r>
              <w:rPr>
                <w:color w:val="000000" w:themeColor="text1"/>
                <w:sz w:val="18"/>
                <w:highlight w:val="none"/>
                <w14:textFill>
                  <w14:solidFill>
                    <w14:schemeClr w14:val="tx1"/>
                  </w14:solidFill>
                </w14:textFill>
              </w:rPr>
              <w:t>《直径〈</w:t>
            </w:r>
            <w:r>
              <w:rPr>
                <w:rFonts w:ascii="Times New Roman" w:hAnsi="Times New Roman" w:eastAsia="Times New Roman"/>
                <w:color w:val="000000" w:themeColor="text1"/>
                <w:sz w:val="18"/>
                <w:highlight w:val="none"/>
                <w14:textFill>
                  <w14:solidFill>
                    <w14:schemeClr w14:val="tx1"/>
                  </w14:solidFill>
                </w14:textFill>
              </w:rPr>
              <w:t xml:space="preserve">20°- 3 </w:t>
            </w:r>
            <w:r>
              <w:rPr>
                <w:color w:val="000000" w:themeColor="text1"/>
                <w:sz w:val="18"/>
                <w:highlight w:val="none"/>
                <w14:textFill>
                  <w14:solidFill>
                    <w14:schemeClr w14:val="tx1"/>
                  </w14:solidFill>
                </w14:textFill>
              </w:rPr>
              <w:t xml:space="preserve">（盲目 </w:t>
            </w:r>
            <w:r>
              <w:rPr>
                <w:rFonts w:ascii="Times New Roman" w:hAns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96"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盲目 </w:t>
            </w:r>
            <w:r>
              <w:rPr>
                <w:rFonts w:asci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 xml:space="preserve">级－功能限定值为 </w:t>
            </w:r>
            <w:r>
              <w:rPr>
                <w:rFonts w:ascii="Times New Roman" w:eastAsia="Times New Roman"/>
                <w:color w:val="000000" w:themeColor="text1"/>
                <w:sz w:val="18"/>
                <w:highlight w:val="none"/>
                <w14:textFill>
                  <w14:solidFill>
                    <w14:schemeClr w14:val="tx1"/>
                  </w14:solidFill>
                </w14:textFill>
              </w:rPr>
              <w:t>4Z</w:t>
            </w:r>
          </w:p>
        </w:tc>
        <w:tc>
          <w:tcPr>
            <w:tcW w:w="4777" w:type="dxa"/>
            <w:vAlign w:val="top"/>
          </w:tcPr>
          <w:p>
            <w:pPr>
              <w:pStyle w:val="24"/>
              <w:spacing w:before="38"/>
              <w:rPr>
                <w:color w:val="000000" w:themeColor="text1"/>
                <w:sz w:val="18"/>
                <w:highlight w:val="none"/>
                <w14:textFill>
                  <w14:solidFill>
                    <w14:schemeClr w14:val="tx1"/>
                  </w14:solidFill>
                </w14:textFill>
              </w:rPr>
            </w:pPr>
            <w:r>
              <w:rPr>
                <w:rFonts w:ascii="Times New Roman" w:hAns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《直径《</w:t>
            </w:r>
            <w:r>
              <w:rPr>
                <w:rFonts w:ascii="Times New Roman" w:hAnsi="Times New Roman" w:eastAsia="Times New Roman"/>
                <w:color w:val="000000" w:themeColor="text1"/>
                <w:sz w:val="18"/>
                <w:highlight w:val="none"/>
                <w14:textFill>
                  <w14:solidFill>
                    <w14:schemeClr w14:val="tx1"/>
                  </w14:solidFill>
                </w14:textFill>
              </w:rPr>
              <w:t>10°- 4</w:t>
            </w:r>
            <w:r>
              <w:rPr>
                <w:color w:val="000000" w:themeColor="text1"/>
                <w:sz w:val="18"/>
                <w:highlight w:val="none"/>
                <w14:textFill>
                  <w14:solidFill>
                    <w14:schemeClr w14:val="tx1"/>
                  </w14:solidFill>
                </w14:textFill>
              </w:rPr>
              <w:t xml:space="preserve">（盲目 </w:t>
            </w:r>
            <w:r>
              <w:rPr>
                <w:rFonts w:ascii="Times New Roman" w:hAns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96"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4777" w:type="dxa"/>
            <w:vAlign w:val="top"/>
          </w:tcPr>
          <w:p>
            <w:pPr>
              <w:pStyle w:val="24"/>
              <w:spacing w:before="38"/>
              <w:rPr>
                <w:rFonts w:ascii="Times New Roman" w:hAns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直径〈</w:t>
            </w:r>
            <w:r>
              <w:rPr>
                <w:rFonts w:ascii="Times New Roman" w:hAnsi="Times New Roman" w:eastAsia="Times New Roman"/>
                <w:color w:val="000000" w:themeColor="text1"/>
                <w:sz w:val="18"/>
                <w:highlight w:val="none"/>
                <w14:textFill>
                  <w14:solidFill>
                    <w14:schemeClr w14:val="tx1"/>
                  </w14:solidFill>
                </w14:textFill>
              </w:rPr>
              <w:t xml:space="preserve">5°- </w:t>
            </w:r>
            <w:r>
              <w:rPr>
                <w:color w:val="000000" w:themeColor="text1"/>
                <w:sz w:val="18"/>
                <w:highlight w:val="none"/>
                <w14:textFill>
                  <w14:solidFill>
                    <w14:schemeClr w14:val="tx1"/>
                  </w14:solidFill>
                </w14:textFill>
              </w:rPr>
              <w:t xml:space="preserve">功能限定值为 </w:t>
            </w:r>
            <w:r>
              <w:rPr>
                <w:rFonts w:ascii="Times New Roman" w:hAnsi="Times New Roman" w:eastAsia="Times New Roman"/>
                <w:color w:val="000000" w:themeColor="text1"/>
                <w:sz w:val="18"/>
                <w:highlight w:val="none"/>
                <w14:textFill>
                  <w14:solidFill>
                    <w14:schemeClr w14:val="tx1"/>
                  </w14:solidFill>
                </w14:textFill>
              </w:rPr>
              <w:t>4Z</w:t>
            </w:r>
          </w:p>
        </w:tc>
      </w:tr>
    </w:tbl>
    <w:p>
      <w:pPr>
        <w:pStyle w:val="8"/>
        <w:rPr>
          <w:rFonts w:ascii="黑体"/>
          <w:color w:val="000000" w:themeColor="text1"/>
          <w:sz w:val="20"/>
          <w:highlight w:val="none"/>
          <w14:textFill>
            <w14:solidFill>
              <w14:schemeClr w14:val="tx1"/>
            </w14:solidFill>
          </w14:textFill>
        </w:rPr>
      </w:pPr>
    </w:p>
    <w:p>
      <w:pPr>
        <w:pStyle w:val="8"/>
        <w:rPr>
          <w:rFonts w:ascii="黑体"/>
          <w:color w:val="000000" w:themeColor="text1"/>
          <w:sz w:val="20"/>
          <w:highlight w:val="none"/>
          <w14:textFill>
            <w14:solidFill>
              <w14:schemeClr w14:val="tx1"/>
            </w14:solidFill>
          </w14:textFill>
        </w:rPr>
      </w:pPr>
    </w:p>
    <w:p>
      <w:pPr>
        <w:pStyle w:val="8"/>
        <w:spacing w:before="134"/>
        <w:ind w:left="2340" w:right="1855"/>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A4</w:t>
      </w:r>
    </w:p>
    <w:p>
      <w:pPr>
        <w:pStyle w:val="8"/>
        <w:spacing w:before="9" w:after="1"/>
        <w:rPr>
          <w:rFonts w:ascii="黑体"/>
          <w:color w:val="000000" w:themeColor="text1"/>
          <w:sz w:val="13"/>
          <w:highlight w:val="none"/>
          <w14:textFill>
            <w14:solidFill>
              <w14:schemeClr w14:val="tx1"/>
            </w14:solidFill>
          </w14:textFill>
        </w:rPr>
      </w:pPr>
    </w:p>
    <w:tbl>
      <w:tblPr>
        <w:tblStyle w:val="14"/>
        <w:tblW w:w="9573"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73" w:type="dxa"/>
            <w:vAlign w:val="top"/>
          </w:tcPr>
          <w:p>
            <w:pPr>
              <w:pStyle w:val="24"/>
              <w:spacing w:before="4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听力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573"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&gt;91db:</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573"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81-91db:</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3Z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573"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71-81db:</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573"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56-71db:</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2Z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573"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41-56db:</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9573" w:type="dxa"/>
            <w:vAlign w:val="top"/>
          </w:tcPr>
          <w:p>
            <w:pPr>
              <w:pStyle w:val="24"/>
              <w:spacing w:before="40"/>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31-41db:</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1Z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573"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26-31db:</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573"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&lt;26db:</w:t>
            </w:r>
            <w:r>
              <w:rPr>
                <w:color w:val="000000" w:themeColor="text1"/>
                <w:sz w:val="18"/>
                <w:highlight w:val="none"/>
                <w14:textFill>
                  <w14:solidFill>
                    <w14:schemeClr w14:val="tx1"/>
                  </w14:solidFill>
                </w14:textFill>
              </w:rPr>
              <w:t xml:space="preserve">功能限定值为 </w:t>
            </w:r>
            <w:r>
              <w:rPr>
                <w:rFonts w:ascii="Times New Roman" w:eastAsia="Times New Roman"/>
                <w:color w:val="000000" w:themeColor="text1"/>
                <w:sz w:val="18"/>
                <w:highlight w:val="none"/>
                <w14:textFill>
                  <w14:solidFill>
                    <w14:schemeClr w14:val="tx1"/>
                  </w14:solidFill>
                </w14:textFill>
              </w:rPr>
              <w:t>0</w:t>
            </w:r>
          </w:p>
        </w:tc>
      </w:tr>
    </w:tbl>
    <w:p>
      <w:pPr>
        <w:rPr>
          <w:rFonts w:eastAsia="Times New Roman"/>
          <w:color w:val="000000" w:themeColor="text1"/>
          <w:sz w:val="18"/>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7"/>
        <w:rPr>
          <w:rFonts w:ascii="黑体"/>
          <w:color w:val="000000" w:themeColor="text1"/>
          <w:sz w:val="14"/>
          <w:highlight w:val="none"/>
          <w14:textFill>
            <w14:solidFill>
              <w14:schemeClr w14:val="tx1"/>
            </w14:solidFill>
          </w14:textFill>
        </w:rPr>
      </w:pPr>
    </w:p>
    <w:p>
      <w:pPr>
        <w:pStyle w:val="8"/>
        <w:spacing w:before="72"/>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A5</w:t>
      </w:r>
    </w:p>
    <w:p>
      <w:pPr>
        <w:pStyle w:val="8"/>
        <w:spacing w:before="9"/>
        <w:rPr>
          <w:rFonts w:ascii="黑体"/>
          <w:color w:val="000000" w:themeColor="text1"/>
          <w:sz w:val="13"/>
          <w:highlight w:val="none"/>
          <w14:textFill>
            <w14:solidFill>
              <w14:schemeClr w14:val="tx1"/>
            </w14:solidFill>
          </w14:textFill>
        </w:rPr>
      </w:pPr>
    </w:p>
    <w:tbl>
      <w:tblPr>
        <w:tblStyle w:val="14"/>
        <w:tblW w:w="957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573"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肌力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573"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肌力 </w:t>
            </w:r>
            <w:r>
              <w:rPr>
                <w:rFonts w:ascii="Times New Roman" w:eastAsia="Times New Roman"/>
                <w:color w:val="000000" w:themeColor="text1"/>
                <w:sz w:val="18"/>
                <w:highlight w:val="none"/>
                <w14:textFill>
                  <w14:solidFill>
                    <w14:schemeClr w14:val="tx1"/>
                  </w14:solidFill>
                </w14:textFill>
              </w:rPr>
              <w:t xml:space="preserve">2 </w:t>
            </w:r>
            <w:r>
              <w:rPr>
                <w:color w:val="000000" w:themeColor="text1"/>
                <w:sz w:val="18"/>
                <w:highlight w:val="none"/>
                <w14:textFill>
                  <w14:solidFill>
                    <w14:schemeClr w14:val="tx1"/>
                  </w14:solidFill>
                </w14:textFill>
              </w:rPr>
              <w:t xml:space="preserve">级－功能限定值为 </w:t>
            </w:r>
            <w:r>
              <w:rPr>
                <w:rFonts w:ascii="Times New Roman" w:eastAsia="Times New Roman"/>
                <w:color w:val="000000" w:themeColor="text1"/>
                <w:sz w:val="18"/>
                <w:highlight w:val="none"/>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573" w:type="dxa"/>
            <w:vAlign w:val="top"/>
          </w:tcPr>
          <w:p>
            <w:pPr>
              <w:pStyle w:val="24"/>
              <w:spacing w:before="38"/>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肌力 </w:t>
            </w:r>
            <w:r>
              <w:rPr>
                <w:rFonts w:ascii="Times New Roman" w:eastAsia="Times New Roman"/>
                <w:color w:val="000000" w:themeColor="text1"/>
                <w:sz w:val="18"/>
                <w:highlight w:val="none"/>
                <w14:textFill>
                  <w14:solidFill>
                    <w14:schemeClr w14:val="tx1"/>
                  </w14:solidFill>
                </w14:textFill>
              </w:rPr>
              <w:t xml:space="preserve">3 </w:t>
            </w:r>
            <w:r>
              <w:rPr>
                <w:color w:val="000000" w:themeColor="text1"/>
                <w:sz w:val="18"/>
                <w:highlight w:val="none"/>
                <w14:textFill>
                  <w14:solidFill>
                    <w14:schemeClr w14:val="tx1"/>
                  </w14:solidFill>
                </w14:textFill>
              </w:rPr>
              <w:t xml:space="preserve">级－功能限定值为 </w:t>
            </w:r>
            <w:r>
              <w:rPr>
                <w:rFonts w:ascii="Times New Roman" w:eastAsia="Times New Roman"/>
                <w:color w:val="000000" w:themeColor="text1"/>
                <w:sz w:val="18"/>
                <w:highlight w:val="none"/>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73" w:type="dxa"/>
            <w:vAlign w:val="top"/>
          </w:tcPr>
          <w:p>
            <w:pPr>
              <w:pStyle w:val="24"/>
              <w:spacing w:before="40"/>
              <w:rPr>
                <w:rFonts w:ascii="Times New Roman" w:eastAsia="Times New Roman"/>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 xml:space="preserve">肌力 </w:t>
            </w:r>
            <w:r>
              <w:rPr>
                <w:rFonts w:ascii="Times New Roman" w:eastAsia="Times New Roman"/>
                <w:color w:val="000000" w:themeColor="text1"/>
                <w:sz w:val="18"/>
                <w:highlight w:val="none"/>
                <w14:textFill>
                  <w14:solidFill>
                    <w14:schemeClr w14:val="tx1"/>
                  </w14:solidFill>
                </w14:textFill>
              </w:rPr>
              <w:t xml:space="preserve">4 </w:t>
            </w:r>
            <w:r>
              <w:rPr>
                <w:color w:val="000000" w:themeColor="text1"/>
                <w:sz w:val="18"/>
                <w:highlight w:val="none"/>
                <w14:textFill>
                  <w14:solidFill>
                    <w14:schemeClr w14:val="tx1"/>
                  </w14:solidFill>
                </w14:textFill>
              </w:rPr>
              <w:t xml:space="preserve">级－功能限定值为 </w:t>
            </w:r>
            <w:r>
              <w:rPr>
                <w:rFonts w:ascii="Times New Roman" w:eastAsia="Times New Roman"/>
                <w:color w:val="000000" w:themeColor="text1"/>
                <w:sz w:val="18"/>
                <w:highlight w:val="none"/>
                <w14:textFill>
                  <w14:solidFill>
                    <w14:schemeClr w14:val="tx1"/>
                  </w14:solidFill>
                </w14:textFill>
              </w:rPr>
              <w:t>1</w:t>
            </w:r>
          </w:p>
        </w:tc>
      </w:tr>
    </w:tbl>
    <w:p>
      <w:pPr>
        <w:pStyle w:val="20"/>
        <w:numPr>
          <w:ilvl w:val="2"/>
          <w:numId w:val="11"/>
        </w:numPr>
        <w:tabs>
          <w:tab w:val="left" w:pos="951"/>
        </w:tabs>
        <w:autoSpaceDE w:val="0"/>
        <w:autoSpaceDN w:val="0"/>
        <w:spacing w:before="179" w:after="0"/>
        <w:ind w:left="950" w:hanging="738"/>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身体结构的编码</w:t>
      </w:r>
    </w:p>
    <w:p>
      <w:pPr>
        <w:pStyle w:val="8"/>
        <w:spacing w:before="6"/>
        <w:rPr>
          <w:rFonts w:ascii="黑体"/>
          <w:color w:val="000000" w:themeColor="text1"/>
          <w:sz w:val="15"/>
          <w:highlight w:val="none"/>
          <w14:textFill>
            <w14:solidFill>
              <w14:schemeClr w14:val="tx1"/>
            </w14:solidFill>
          </w14:textFill>
        </w:rPr>
      </w:pPr>
    </w:p>
    <w:p>
      <w:pPr>
        <w:pStyle w:val="8"/>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身体结构是身体解剖部位，如器官、肢体及其组成成份。</w:t>
      </w:r>
    </w:p>
    <w:p>
      <w:pPr>
        <w:pStyle w:val="8"/>
        <w:spacing w:before="7"/>
        <w:rPr>
          <w:color w:val="000000" w:themeColor="text1"/>
          <w:sz w:val="15"/>
          <w:highlight w:val="none"/>
          <w14:textFill>
            <w14:solidFill>
              <w14:schemeClr w14:val="tx1"/>
            </w14:solidFill>
          </w14:textFill>
        </w:rPr>
      </w:pPr>
    </w:p>
    <w:p>
      <w:pPr>
        <w:pStyle w:val="20"/>
        <w:numPr>
          <w:ilvl w:val="3"/>
          <w:numId w:val="11"/>
        </w:numPr>
        <w:tabs>
          <w:tab w:val="left" w:pos="1057"/>
        </w:tabs>
        <w:autoSpaceDE w:val="0"/>
        <w:autoSpaceDN w:val="0"/>
        <w:spacing w:after="0"/>
        <w:ind w:left="1056" w:hanging="844"/>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身体结构的扩展规则</w:t>
      </w:r>
    </w:p>
    <w:p>
      <w:pPr>
        <w:pStyle w:val="8"/>
        <w:spacing w:before="7"/>
        <w:rPr>
          <w:rFonts w:ascii="黑体"/>
          <w:color w:val="000000" w:themeColor="text1"/>
          <w:sz w:val="15"/>
          <w:highlight w:val="none"/>
          <w14:textFill>
            <w14:solidFill>
              <w14:schemeClr w14:val="tx1"/>
            </w14:solidFill>
          </w14:textFill>
        </w:rPr>
      </w:pPr>
    </w:p>
    <w:p>
      <w:pPr>
        <w:pStyle w:val="8"/>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根据人身保险伤残评定标准中的具体情况，对涉及的身体结构编码进行了扩展。</w:t>
      </w:r>
    </w:p>
    <w:p>
      <w:pPr>
        <w:pStyle w:val="8"/>
        <w:spacing w:before="3" w:after="1"/>
        <w:rPr>
          <w:color w:val="000000" w:themeColor="text1"/>
          <w:sz w:val="10"/>
          <w:highlight w:val="none"/>
          <w14:textFill>
            <w14:solidFill>
              <w14:schemeClr w14:val="tx1"/>
            </w14:solidFill>
          </w14:textFill>
        </w:rPr>
      </w:pPr>
    </w:p>
    <w:tbl>
      <w:tblPr>
        <w:tblStyle w:val="14"/>
        <w:tblW w:w="6412" w:type="dxa"/>
        <w:tblInd w:w="530" w:type="dxa"/>
        <w:tblLayout w:type="fixed"/>
        <w:tblCellMar>
          <w:top w:w="0" w:type="dxa"/>
          <w:left w:w="0" w:type="dxa"/>
          <w:bottom w:w="0" w:type="dxa"/>
          <w:right w:w="0" w:type="dxa"/>
        </w:tblCellMar>
      </w:tblPr>
      <w:tblGrid>
        <w:gridCol w:w="1899"/>
        <w:gridCol w:w="2190"/>
        <w:gridCol w:w="2323"/>
      </w:tblGrid>
      <w:tr>
        <w:tblPrEx>
          <w:tblCellMar>
            <w:top w:w="0" w:type="dxa"/>
            <w:left w:w="0" w:type="dxa"/>
            <w:bottom w:w="0" w:type="dxa"/>
            <w:right w:w="0" w:type="dxa"/>
          </w:tblCellMar>
        </w:tblPrEx>
        <w:trPr>
          <w:trHeight w:val="296" w:hRule="atLeast"/>
        </w:trPr>
        <w:tc>
          <w:tcPr>
            <w:tcW w:w="1899" w:type="dxa"/>
            <w:vAlign w:val="top"/>
          </w:tcPr>
          <w:p>
            <w:pPr>
              <w:pStyle w:val="24"/>
              <w:spacing w:before="0" w:line="241" w:lineRule="exact"/>
              <w:ind w:left="50"/>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s3100A- </w:t>
            </w:r>
            <w:r>
              <w:rPr>
                <w:color w:val="000000" w:themeColor="text1"/>
                <w:sz w:val="21"/>
                <w:highlight w:val="none"/>
                <w14:textFill>
                  <w14:solidFill>
                    <w14:schemeClr w14:val="tx1"/>
                  </w14:solidFill>
                </w14:textFill>
              </w:rPr>
              <w:t>鼻翼</w:t>
            </w:r>
          </w:p>
        </w:tc>
        <w:tc>
          <w:tcPr>
            <w:tcW w:w="2190" w:type="dxa"/>
            <w:vAlign w:val="top"/>
          </w:tcPr>
          <w:p>
            <w:pPr>
              <w:pStyle w:val="24"/>
              <w:spacing w:before="0" w:line="241" w:lineRule="exact"/>
              <w:ind w:left="253"/>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s3108A- </w:t>
            </w:r>
            <w:r>
              <w:rPr>
                <w:color w:val="000000" w:themeColor="text1"/>
                <w:sz w:val="21"/>
                <w:highlight w:val="none"/>
                <w14:textFill>
                  <w14:solidFill>
                    <w14:schemeClr w14:val="tx1"/>
                  </w14:solidFill>
                </w14:textFill>
              </w:rPr>
              <w:t>鼻孔</w:t>
            </w:r>
          </w:p>
        </w:tc>
        <w:tc>
          <w:tcPr>
            <w:tcW w:w="2323" w:type="dxa"/>
            <w:vAlign w:val="top"/>
          </w:tcPr>
          <w:p>
            <w:pPr>
              <w:pStyle w:val="24"/>
              <w:spacing w:before="0" w:line="241" w:lineRule="exact"/>
              <w:ind w:left="22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s3108B- </w:t>
            </w:r>
            <w:r>
              <w:rPr>
                <w:color w:val="000000" w:themeColor="text1"/>
                <w:sz w:val="21"/>
                <w:highlight w:val="none"/>
                <w14:textFill>
                  <w14:solidFill>
                    <w14:schemeClr w14:val="tx1"/>
                  </w14:solidFill>
                </w14:textFill>
              </w:rPr>
              <w:t>鼻腔</w:t>
            </w:r>
          </w:p>
        </w:tc>
      </w:tr>
      <w:tr>
        <w:tblPrEx>
          <w:tblCellMar>
            <w:top w:w="0" w:type="dxa"/>
            <w:left w:w="0" w:type="dxa"/>
            <w:bottom w:w="0" w:type="dxa"/>
            <w:right w:w="0" w:type="dxa"/>
          </w:tblCellMar>
        </w:tblPrEx>
        <w:trPr>
          <w:trHeight w:val="372" w:hRule="atLeast"/>
        </w:trPr>
        <w:tc>
          <w:tcPr>
            <w:tcW w:w="1899" w:type="dxa"/>
            <w:vAlign w:val="top"/>
          </w:tcPr>
          <w:p>
            <w:pPr>
              <w:pStyle w:val="24"/>
              <w:spacing w:before="47"/>
              <w:ind w:left="50"/>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s41008- </w:t>
            </w:r>
            <w:r>
              <w:rPr>
                <w:color w:val="000000" w:themeColor="text1"/>
                <w:sz w:val="21"/>
                <w:highlight w:val="none"/>
                <w14:textFill>
                  <w14:solidFill>
                    <w14:schemeClr w14:val="tx1"/>
                  </w14:solidFill>
                </w14:textFill>
              </w:rPr>
              <w:t>特指心肌</w:t>
            </w:r>
          </w:p>
        </w:tc>
        <w:tc>
          <w:tcPr>
            <w:tcW w:w="2190" w:type="dxa"/>
            <w:vAlign w:val="top"/>
          </w:tcPr>
          <w:p>
            <w:pPr>
              <w:pStyle w:val="24"/>
              <w:spacing w:before="47"/>
              <w:ind w:left="207"/>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s43018A- </w:t>
            </w:r>
            <w:r>
              <w:rPr>
                <w:color w:val="000000" w:themeColor="text1"/>
                <w:sz w:val="21"/>
                <w:highlight w:val="none"/>
                <w14:textFill>
                  <w14:solidFill>
                    <w14:schemeClr w14:val="tx1"/>
                  </w14:solidFill>
                </w14:textFill>
              </w:rPr>
              <w:t>肺叶</w:t>
            </w:r>
          </w:p>
        </w:tc>
        <w:tc>
          <w:tcPr>
            <w:tcW w:w="2323" w:type="dxa"/>
            <w:vAlign w:val="top"/>
          </w:tcPr>
          <w:p>
            <w:pPr>
              <w:pStyle w:val="24"/>
              <w:spacing w:before="47"/>
              <w:ind w:left="22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s4302A- </w:t>
            </w:r>
            <w:r>
              <w:rPr>
                <w:color w:val="000000" w:themeColor="text1"/>
                <w:sz w:val="21"/>
                <w:highlight w:val="none"/>
                <w14:textFill>
                  <w14:solidFill>
                    <w14:schemeClr w14:val="tx1"/>
                  </w14:solidFill>
                </w14:textFill>
              </w:rPr>
              <w:t>肋骨</w:t>
            </w:r>
          </w:p>
        </w:tc>
      </w:tr>
      <w:tr>
        <w:tblPrEx>
          <w:tblCellMar>
            <w:top w:w="0" w:type="dxa"/>
            <w:left w:w="0" w:type="dxa"/>
            <w:bottom w:w="0" w:type="dxa"/>
            <w:right w:w="0" w:type="dxa"/>
          </w:tblCellMar>
        </w:tblPrEx>
        <w:trPr>
          <w:trHeight w:val="372" w:hRule="atLeast"/>
        </w:trPr>
        <w:tc>
          <w:tcPr>
            <w:tcW w:w="1899" w:type="dxa"/>
            <w:vAlign w:val="top"/>
          </w:tcPr>
          <w:p>
            <w:pPr>
              <w:pStyle w:val="24"/>
              <w:spacing w:before="47"/>
              <w:ind w:left="50"/>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s5400A- </w:t>
            </w:r>
            <w:r>
              <w:rPr>
                <w:color w:val="000000" w:themeColor="text1"/>
                <w:sz w:val="21"/>
                <w:highlight w:val="none"/>
                <w14:textFill>
                  <w14:solidFill>
                    <w14:schemeClr w14:val="tx1"/>
                  </w14:solidFill>
                </w14:textFill>
              </w:rPr>
              <w:t>十二指肠</w:t>
            </w:r>
          </w:p>
        </w:tc>
        <w:tc>
          <w:tcPr>
            <w:tcW w:w="2190" w:type="dxa"/>
            <w:vAlign w:val="top"/>
          </w:tcPr>
          <w:p>
            <w:pPr>
              <w:pStyle w:val="24"/>
              <w:spacing w:before="47"/>
              <w:ind w:left="207"/>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s5400C- </w:t>
            </w:r>
            <w:r>
              <w:rPr>
                <w:color w:val="000000" w:themeColor="text1"/>
                <w:sz w:val="21"/>
                <w:highlight w:val="none"/>
                <w14:textFill>
                  <w14:solidFill>
                    <w14:schemeClr w14:val="tx1"/>
                  </w14:solidFill>
                </w14:textFill>
              </w:rPr>
              <w:t>回肠</w:t>
            </w:r>
          </w:p>
        </w:tc>
        <w:tc>
          <w:tcPr>
            <w:tcW w:w="2323" w:type="dxa"/>
            <w:vAlign w:val="top"/>
          </w:tcPr>
          <w:p>
            <w:pPr>
              <w:pStyle w:val="24"/>
              <w:spacing w:before="47"/>
              <w:ind w:left="22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s5401A- </w:t>
            </w:r>
            <w:r>
              <w:rPr>
                <w:color w:val="000000" w:themeColor="text1"/>
                <w:sz w:val="21"/>
                <w:highlight w:val="none"/>
                <w14:textFill>
                  <w14:solidFill>
                    <w14:schemeClr w14:val="tx1"/>
                  </w14:solidFill>
                </w14:textFill>
              </w:rPr>
              <w:t>结肠</w:t>
            </w:r>
          </w:p>
        </w:tc>
      </w:tr>
      <w:tr>
        <w:tblPrEx>
          <w:tblCellMar>
            <w:top w:w="0" w:type="dxa"/>
            <w:left w:w="0" w:type="dxa"/>
            <w:bottom w:w="0" w:type="dxa"/>
            <w:right w:w="0" w:type="dxa"/>
          </w:tblCellMar>
        </w:tblPrEx>
        <w:trPr>
          <w:trHeight w:val="372" w:hRule="atLeast"/>
        </w:trPr>
        <w:tc>
          <w:tcPr>
            <w:tcW w:w="1899" w:type="dxa"/>
            <w:vAlign w:val="top"/>
          </w:tcPr>
          <w:p>
            <w:pPr>
              <w:pStyle w:val="24"/>
              <w:spacing w:before="47"/>
              <w:ind w:left="50"/>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s5401B- </w:t>
            </w:r>
            <w:r>
              <w:rPr>
                <w:color w:val="000000" w:themeColor="text1"/>
                <w:sz w:val="21"/>
                <w:highlight w:val="none"/>
                <w14:textFill>
                  <w14:solidFill>
                    <w14:schemeClr w14:val="tx1"/>
                  </w14:solidFill>
                </w14:textFill>
              </w:rPr>
              <w:t>直肠</w:t>
            </w:r>
          </w:p>
        </w:tc>
        <w:tc>
          <w:tcPr>
            <w:tcW w:w="2190" w:type="dxa"/>
            <w:vAlign w:val="top"/>
          </w:tcPr>
          <w:p>
            <w:pPr>
              <w:pStyle w:val="24"/>
              <w:spacing w:before="47"/>
              <w:ind w:left="207"/>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s5408A- </w:t>
            </w:r>
            <w:r>
              <w:rPr>
                <w:color w:val="000000" w:themeColor="text1"/>
                <w:sz w:val="21"/>
                <w:highlight w:val="none"/>
                <w14:textFill>
                  <w14:solidFill>
                    <w14:schemeClr w14:val="tx1"/>
                  </w14:solidFill>
                </w14:textFill>
              </w:rPr>
              <w:t>盲肠</w:t>
            </w:r>
          </w:p>
        </w:tc>
        <w:tc>
          <w:tcPr>
            <w:tcW w:w="2323" w:type="dxa"/>
            <w:vAlign w:val="top"/>
          </w:tcPr>
          <w:p>
            <w:pPr>
              <w:pStyle w:val="24"/>
              <w:spacing w:before="47"/>
              <w:ind w:left="22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s598A- </w:t>
            </w:r>
            <w:r>
              <w:rPr>
                <w:color w:val="000000" w:themeColor="text1"/>
                <w:sz w:val="21"/>
                <w:highlight w:val="none"/>
                <w14:textFill>
                  <w14:solidFill>
                    <w14:schemeClr w14:val="tx1"/>
                  </w14:solidFill>
                </w14:textFill>
              </w:rPr>
              <w:t>肛门</w:t>
            </w:r>
          </w:p>
        </w:tc>
      </w:tr>
      <w:tr>
        <w:tblPrEx>
          <w:tblCellMar>
            <w:top w:w="0" w:type="dxa"/>
            <w:left w:w="0" w:type="dxa"/>
            <w:bottom w:w="0" w:type="dxa"/>
            <w:right w:w="0" w:type="dxa"/>
          </w:tblCellMar>
        </w:tblPrEx>
        <w:trPr>
          <w:trHeight w:val="371" w:hRule="atLeast"/>
        </w:trPr>
        <w:tc>
          <w:tcPr>
            <w:tcW w:w="1899" w:type="dxa"/>
            <w:vAlign w:val="top"/>
          </w:tcPr>
          <w:p>
            <w:pPr>
              <w:pStyle w:val="24"/>
              <w:spacing w:before="47"/>
              <w:ind w:left="50"/>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s6100A- </w:t>
            </w:r>
            <w:r>
              <w:rPr>
                <w:color w:val="000000" w:themeColor="text1"/>
                <w:sz w:val="21"/>
                <w:highlight w:val="none"/>
                <w14:textFill>
                  <w14:solidFill>
                    <w14:schemeClr w14:val="tx1"/>
                  </w14:solidFill>
                </w14:textFill>
              </w:rPr>
              <w:t>孤肾</w:t>
            </w:r>
          </w:p>
        </w:tc>
        <w:tc>
          <w:tcPr>
            <w:tcW w:w="2190" w:type="dxa"/>
            <w:vAlign w:val="top"/>
          </w:tcPr>
          <w:p>
            <w:pPr>
              <w:pStyle w:val="24"/>
              <w:spacing w:before="47"/>
              <w:ind w:left="253"/>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s6308- </w:t>
            </w:r>
            <w:r>
              <w:rPr>
                <w:color w:val="000000" w:themeColor="text1"/>
                <w:sz w:val="21"/>
                <w:highlight w:val="none"/>
                <w14:textFill>
                  <w14:solidFill>
                    <w14:schemeClr w14:val="tx1"/>
                  </w14:solidFill>
                </w14:textFill>
              </w:rPr>
              <w:t>特指输精管</w:t>
            </w:r>
          </w:p>
        </w:tc>
        <w:tc>
          <w:tcPr>
            <w:tcW w:w="2323" w:type="dxa"/>
            <w:vAlign w:val="top"/>
          </w:tcPr>
          <w:p>
            <w:pPr>
              <w:pStyle w:val="24"/>
              <w:spacing w:before="47"/>
              <w:ind w:left="22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s7101A-</w:t>
            </w:r>
            <w:r>
              <w:rPr>
                <w:color w:val="000000" w:themeColor="text1"/>
                <w:sz w:val="21"/>
                <w:highlight w:val="none"/>
                <w14:textFill>
                  <w14:solidFill>
                    <w14:schemeClr w14:val="tx1"/>
                  </w14:solidFill>
                </w14:textFill>
              </w:rPr>
              <w:t>上颌骨</w:t>
            </w:r>
          </w:p>
        </w:tc>
      </w:tr>
      <w:tr>
        <w:tblPrEx>
          <w:tblCellMar>
            <w:top w:w="0" w:type="dxa"/>
            <w:left w:w="0" w:type="dxa"/>
            <w:bottom w:w="0" w:type="dxa"/>
            <w:right w:w="0" w:type="dxa"/>
          </w:tblCellMar>
        </w:tblPrEx>
        <w:trPr>
          <w:trHeight w:val="368" w:hRule="atLeast"/>
        </w:trPr>
        <w:tc>
          <w:tcPr>
            <w:tcW w:w="1899" w:type="dxa"/>
            <w:vAlign w:val="top"/>
          </w:tcPr>
          <w:p>
            <w:pPr>
              <w:pStyle w:val="24"/>
              <w:spacing w:before="47"/>
              <w:ind w:left="50"/>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s7101B-</w:t>
            </w:r>
            <w:r>
              <w:rPr>
                <w:color w:val="000000" w:themeColor="text1"/>
                <w:sz w:val="21"/>
                <w:highlight w:val="none"/>
                <w14:textFill>
                  <w14:solidFill>
                    <w14:schemeClr w14:val="tx1"/>
                  </w14:solidFill>
                </w14:textFill>
              </w:rPr>
              <w:t>下颌骨</w:t>
            </w:r>
          </w:p>
        </w:tc>
        <w:tc>
          <w:tcPr>
            <w:tcW w:w="2190" w:type="dxa"/>
            <w:vAlign w:val="top"/>
          </w:tcPr>
          <w:p>
            <w:pPr>
              <w:pStyle w:val="24"/>
              <w:spacing w:before="47"/>
              <w:ind w:left="207"/>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s7103A- </w:t>
            </w:r>
            <w:r>
              <w:rPr>
                <w:color w:val="000000" w:themeColor="text1"/>
                <w:sz w:val="21"/>
                <w:highlight w:val="none"/>
                <w14:textFill>
                  <w14:solidFill>
                    <w14:schemeClr w14:val="tx1"/>
                  </w14:solidFill>
                </w14:textFill>
              </w:rPr>
              <w:t>颞下颌关节</w:t>
            </w:r>
          </w:p>
        </w:tc>
        <w:tc>
          <w:tcPr>
            <w:tcW w:w="2323" w:type="dxa"/>
            <w:vAlign w:val="top"/>
          </w:tcPr>
          <w:p>
            <w:pPr>
              <w:pStyle w:val="24"/>
              <w:spacing w:before="47"/>
              <w:ind w:left="22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s7108- </w:t>
            </w:r>
            <w:r>
              <w:rPr>
                <w:color w:val="000000" w:themeColor="text1"/>
                <w:sz w:val="21"/>
                <w:highlight w:val="none"/>
                <w14:textFill>
                  <w14:solidFill>
                    <w14:schemeClr w14:val="tx1"/>
                  </w14:solidFill>
                </w14:textFill>
              </w:rPr>
              <w:t>特指面部软组织</w:t>
            </w:r>
          </w:p>
        </w:tc>
      </w:tr>
      <w:tr>
        <w:tblPrEx>
          <w:tblCellMar>
            <w:top w:w="0" w:type="dxa"/>
            <w:left w:w="0" w:type="dxa"/>
            <w:bottom w:w="0" w:type="dxa"/>
            <w:right w:w="0" w:type="dxa"/>
          </w:tblCellMar>
        </w:tblPrEx>
        <w:trPr>
          <w:trHeight w:val="375" w:hRule="atLeast"/>
        </w:trPr>
        <w:tc>
          <w:tcPr>
            <w:tcW w:w="1899" w:type="dxa"/>
            <w:vAlign w:val="top"/>
          </w:tcPr>
          <w:p>
            <w:pPr>
              <w:pStyle w:val="24"/>
              <w:spacing w:before="50"/>
              <w:ind w:left="50"/>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s73008A</w:t>
            </w:r>
            <w:r>
              <w:rPr>
                <w:rFonts w:ascii="Times New Roman" w:eastAsia="Times New Roman"/>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肱骨骺板</w:t>
            </w:r>
          </w:p>
        </w:tc>
        <w:tc>
          <w:tcPr>
            <w:tcW w:w="2190" w:type="dxa"/>
            <w:vAlign w:val="top"/>
          </w:tcPr>
          <w:p>
            <w:pPr>
              <w:pStyle w:val="24"/>
              <w:spacing w:before="50"/>
              <w:ind w:left="207"/>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s73008B-</w:t>
            </w:r>
            <w:r>
              <w:rPr>
                <w:color w:val="000000" w:themeColor="text1"/>
                <w:sz w:val="21"/>
                <w:highlight w:val="none"/>
                <w14:textFill>
                  <w14:solidFill>
                    <w14:schemeClr w14:val="tx1"/>
                  </w14:solidFill>
                </w14:textFill>
              </w:rPr>
              <w:t>尺骨骺板</w:t>
            </w:r>
          </w:p>
        </w:tc>
        <w:tc>
          <w:tcPr>
            <w:tcW w:w="2323" w:type="dxa"/>
            <w:vAlign w:val="top"/>
          </w:tcPr>
          <w:p>
            <w:pPr>
              <w:pStyle w:val="24"/>
              <w:spacing w:before="50"/>
              <w:ind w:left="22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s73008C</w:t>
            </w:r>
            <w:r>
              <w:rPr>
                <w:rFonts w:ascii="Times New Roman" w:eastAsia="Times New Roman"/>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桡骨骺板</w:t>
            </w:r>
          </w:p>
        </w:tc>
      </w:tr>
      <w:tr>
        <w:tblPrEx>
          <w:tblCellMar>
            <w:top w:w="0" w:type="dxa"/>
            <w:left w:w="0" w:type="dxa"/>
            <w:bottom w:w="0" w:type="dxa"/>
            <w:right w:w="0" w:type="dxa"/>
          </w:tblCellMar>
        </w:tblPrEx>
        <w:trPr>
          <w:trHeight w:val="375" w:hRule="atLeast"/>
        </w:trPr>
        <w:tc>
          <w:tcPr>
            <w:tcW w:w="1899" w:type="dxa"/>
            <w:vAlign w:val="top"/>
          </w:tcPr>
          <w:p>
            <w:pPr>
              <w:pStyle w:val="24"/>
              <w:spacing w:before="47"/>
              <w:ind w:left="50"/>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s75008A-</w:t>
            </w:r>
            <w:r>
              <w:rPr>
                <w:color w:val="000000" w:themeColor="text1"/>
                <w:sz w:val="21"/>
                <w:highlight w:val="none"/>
                <w14:textFill>
                  <w14:solidFill>
                    <w14:schemeClr w14:val="tx1"/>
                  </w14:solidFill>
                </w14:textFill>
              </w:rPr>
              <w:t>股骨骺板</w:t>
            </w:r>
          </w:p>
        </w:tc>
        <w:tc>
          <w:tcPr>
            <w:tcW w:w="2190" w:type="dxa"/>
            <w:vAlign w:val="top"/>
          </w:tcPr>
          <w:p>
            <w:pPr>
              <w:pStyle w:val="24"/>
              <w:spacing w:before="47"/>
              <w:ind w:left="31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s75008B-</w:t>
            </w:r>
            <w:r>
              <w:rPr>
                <w:color w:val="000000" w:themeColor="text1"/>
                <w:sz w:val="21"/>
                <w:highlight w:val="none"/>
                <w14:textFill>
                  <w14:solidFill>
                    <w14:schemeClr w14:val="tx1"/>
                  </w14:solidFill>
                </w14:textFill>
              </w:rPr>
              <w:t>胫骨骺板</w:t>
            </w:r>
          </w:p>
        </w:tc>
        <w:tc>
          <w:tcPr>
            <w:tcW w:w="2323" w:type="dxa"/>
            <w:vAlign w:val="top"/>
          </w:tcPr>
          <w:p>
            <w:pPr>
              <w:pStyle w:val="24"/>
              <w:spacing w:before="47"/>
              <w:ind w:left="22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s75008C</w:t>
            </w:r>
            <w:r>
              <w:rPr>
                <w:rFonts w:ascii="Times New Roman" w:eastAsia="Times New Roman"/>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腓骨骺板</w:t>
            </w:r>
          </w:p>
        </w:tc>
      </w:tr>
      <w:tr>
        <w:tblPrEx>
          <w:tblCellMar>
            <w:top w:w="0" w:type="dxa"/>
            <w:left w:w="0" w:type="dxa"/>
            <w:bottom w:w="0" w:type="dxa"/>
            <w:right w:w="0" w:type="dxa"/>
          </w:tblCellMar>
        </w:tblPrEx>
        <w:trPr>
          <w:trHeight w:val="368" w:hRule="atLeast"/>
        </w:trPr>
        <w:tc>
          <w:tcPr>
            <w:tcW w:w="1899" w:type="dxa"/>
            <w:vAlign w:val="top"/>
          </w:tcPr>
          <w:p>
            <w:pPr>
              <w:pStyle w:val="24"/>
              <w:spacing w:before="44"/>
              <w:ind w:left="50"/>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s75020A- </w:t>
            </w:r>
            <w:r>
              <w:rPr>
                <w:color w:val="000000" w:themeColor="text1"/>
                <w:sz w:val="21"/>
                <w:highlight w:val="none"/>
                <w14:textFill>
                  <w14:solidFill>
                    <w14:schemeClr w14:val="tx1"/>
                  </w14:solidFill>
                </w14:textFill>
              </w:rPr>
              <w:t>全部足趾</w:t>
            </w:r>
          </w:p>
        </w:tc>
        <w:tc>
          <w:tcPr>
            <w:tcW w:w="2190" w:type="dxa"/>
            <w:vAlign w:val="top"/>
          </w:tcPr>
          <w:p>
            <w:pPr>
              <w:pStyle w:val="24"/>
              <w:spacing w:before="44"/>
              <w:ind w:left="313"/>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s75021A- </w:t>
            </w:r>
            <w:r>
              <w:rPr>
                <w:color w:val="000000" w:themeColor="text1"/>
                <w:sz w:val="21"/>
                <w:highlight w:val="none"/>
                <w14:textFill>
                  <w14:solidFill>
                    <w14:schemeClr w14:val="tx1"/>
                  </w14:solidFill>
                </w14:textFill>
              </w:rPr>
              <w:t>跗跖关节</w:t>
            </w:r>
          </w:p>
        </w:tc>
        <w:tc>
          <w:tcPr>
            <w:tcW w:w="2323" w:type="dxa"/>
            <w:vAlign w:val="top"/>
          </w:tcPr>
          <w:p>
            <w:pPr>
              <w:pStyle w:val="24"/>
              <w:spacing w:before="44"/>
              <w:ind w:left="22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s75028A</w:t>
            </w:r>
            <w:r>
              <w:rPr>
                <w:color w:val="000000" w:themeColor="text1"/>
                <w:sz w:val="18"/>
                <w:highlight w:val="none"/>
                <w14:textFill>
                  <w14:solidFill>
                    <w14:schemeClr w14:val="tx1"/>
                  </w14:solidFill>
                </w14:textFill>
              </w:rPr>
              <w:t>－</w:t>
            </w:r>
            <w:r>
              <w:rPr>
                <w:color w:val="000000" w:themeColor="text1"/>
                <w:sz w:val="21"/>
                <w:highlight w:val="none"/>
                <w14:textFill>
                  <w14:solidFill>
                    <w14:schemeClr w14:val="tx1"/>
                  </w14:solidFill>
                </w14:textFill>
              </w:rPr>
              <w:t>足弓</w:t>
            </w:r>
          </w:p>
        </w:tc>
      </w:tr>
      <w:tr>
        <w:tblPrEx>
          <w:tblCellMar>
            <w:top w:w="0" w:type="dxa"/>
            <w:left w:w="0" w:type="dxa"/>
            <w:bottom w:w="0" w:type="dxa"/>
            <w:right w:w="0" w:type="dxa"/>
          </w:tblCellMar>
        </w:tblPrEx>
        <w:trPr>
          <w:trHeight w:val="296" w:hRule="atLeast"/>
        </w:trPr>
        <w:tc>
          <w:tcPr>
            <w:tcW w:w="1899" w:type="dxa"/>
            <w:vAlign w:val="top"/>
          </w:tcPr>
          <w:p>
            <w:pPr>
              <w:pStyle w:val="24"/>
              <w:spacing w:before="47" w:line="229" w:lineRule="exact"/>
              <w:ind w:left="50"/>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s7701A- </w:t>
            </w:r>
            <w:r>
              <w:rPr>
                <w:color w:val="000000" w:themeColor="text1"/>
                <w:sz w:val="21"/>
                <w:highlight w:val="none"/>
                <w14:textFill>
                  <w14:solidFill>
                    <w14:schemeClr w14:val="tx1"/>
                  </w14:solidFill>
                </w14:textFill>
              </w:rPr>
              <w:t>髋臼</w:t>
            </w:r>
          </w:p>
        </w:tc>
        <w:tc>
          <w:tcPr>
            <w:tcW w:w="2190" w:type="dxa"/>
            <w:vAlign w:val="top"/>
          </w:tcPr>
          <w:p>
            <w:pPr>
              <w:pStyle w:val="24"/>
              <w:spacing w:before="47" w:line="229" w:lineRule="exact"/>
              <w:ind w:left="31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s8100A- </w:t>
            </w:r>
            <w:r>
              <w:rPr>
                <w:color w:val="000000" w:themeColor="text1"/>
                <w:sz w:val="21"/>
                <w:highlight w:val="none"/>
                <w14:textFill>
                  <w14:solidFill>
                    <w14:schemeClr w14:val="tx1"/>
                  </w14:solidFill>
                </w14:textFill>
              </w:rPr>
              <w:t>头皮</w:t>
            </w:r>
          </w:p>
        </w:tc>
        <w:tc>
          <w:tcPr>
            <w:tcW w:w="2323" w:type="dxa"/>
            <w:vAlign w:val="top"/>
          </w:tcPr>
          <w:p>
            <w:pPr>
              <w:pStyle w:val="24"/>
              <w:spacing w:before="47" w:line="229" w:lineRule="exact"/>
              <w:ind w:left="221"/>
              <w:rPr>
                <w:color w:val="000000" w:themeColor="text1"/>
                <w:sz w:val="21"/>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s8100B- </w:t>
            </w:r>
            <w:r>
              <w:rPr>
                <w:color w:val="000000" w:themeColor="text1"/>
                <w:sz w:val="21"/>
                <w:highlight w:val="none"/>
                <w14:textFill>
                  <w14:solidFill>
                    <w14:schemeClr w14:val="tx1"/>
                  </w14:solidFill>
                </w14:textFill>
              </w:rPr>
              <w:t>面部皮肤</w:t>
            </w:r>
          </w:p>
        </w:tc>
      </w:tr>
    </w:tbl>
    <w:p>
      <w:pPr>
        <w:pStyle w:val="8"/>
        <w:spacing w:before="1"/>
        <w:rPr>
          <w:color w:val="000000" w:themeColor="text1"/>
          <w:sz w:val="17"/>
          <w:highlight w:val="none"/>
          <w14:textFill>
            <w14:solidFill>
              <w14:schemeClr w14:val="tx1"/>
            </w14:solidFill>
          </w14:textFill>
        </w:rPr>
      </w:pPr>
    </w:p>
    <w:p>
      <w:pPr>
        <w:pStyle w:val="20"/>
        <w:numPr>
          <w:ilvl w:val="3"/>
          <w:numId w:val="11"/>
        </w:numPr>
        <w:tabs>
          <w:tab w:val="left" w:pos="1159"/>
        </w:tabs>
        <w:autoSpaceDE w:val="0"/>
        <w:autoSpaceDN w:val="0"/>
        <w:spacing w:after="0"/>
        <w:ind w:left="1158" w:hanging="946"/>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身体结构的限定值</w:t>
      </w:r>
    </w:p>
    <w:p>
      <w:pPr>
        <w:pStyle w:val="8"/>
        <w:spacing w:before="7"/>
        <w:rPr>
          <w:rFonts w:ascii="黑体"/>
          <w:color w:val="000000" w:themeColor="text1"/>
          <w:sz w:val="15"/>
          <w:highlight w:val="none"/>
          <w14:textFill>
            <w14:solidFill>
              <w14:schemeClr w14:val="tx1"/>
            </w14:solidFill>
          </w14:textFill>
        </w:rPr>
      </w:pPr>
    </w:p>
    <w:p>
      <w:pPr>
        <w:pStyle w:val="8"/>
        <w:spacing w:line="278" w:lineRule="auto"/>
        <w:ind w:left="212" w:right="709" w:firstLine="420"/>
        <w:jc w:val="both"/>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身体结构使用四级限定值进行编码。一级限定值描述损伤的范围和程度，二级限定值用于显示改变</w:t>
      </w:r>
      <w:r>
        <w:rPr>
          <w:color w:val="000000" w:themeColor="text1"/>
          <w:spacing w:val="-12"/>
          <w:highlight w:val="none"/>
          <w14:textFill>
            <w14:solidFill>
              <w14:schemeClr w14:val="tx1"/>
            </w14:solidFill>
          </w14:textFill>
        </w:rPr>
        <w:t>的性质，三级限定值说明损伤的部位，自定义的四级限定值细化说明损伤的程度或其他说明。身体结构</w:t>
      </w:r>
      <w:r>
        <w:rPr>
          <w:color w:val="000000" w:themeColor="text1"/>
          <w:spacing w:val="-6"/>
          <w:highlight w:val="none"/>
          <w14:textFill>
            <w14:solidFill>
              <w14:schemeClr w14:val="tx1"/>
            </w14:solidFill>
          </w14:textFill>
        </w:rPr>
        <w:t>的限定值并不全是四位全部使用，编码形式有且只有下列四种：</w:t>
      </w:r>
    </w:p>
    <w:p>
      <w:pPr>
        <w:pStyle w:val="8"/>
        <w:spacing w:before="59"/>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身体结构的类目编码+一级限定值</w:t>
      </w:r>
    </w:p>
    <w:p>
      <w:pPr>
        <w:pStyle w:val="8"/>
        <w:spacing w:before="103"/>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身体结构的类目编码+一级限定值+二级限定值</w:t>
      </w:r>
    </w:p>
    <w:p>
      <w:pPr>
        <w:pStyle w:val="8"/>
        <w:spacing w:before="103"/>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身体结构的类目编码+一级限定值+二级限定值+三级限定值</w:t>
      </w:r>
    </w:p>
    <w:p>
      <w:pPr>
        <w:pStyle w:val="8"/>
        <w:spacing w:before="104"/>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身体结构的类目编码+一级限定值+二级限定值+三级限定值+四级限定值</w:t>
      </w:r>
    </w:p>
    <w:p>
      <w:pPr>
        <w:pStyle w:val="8"/>
        <w:spacing w:before="84"/>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图 A2</w:t>
      </w:r>
    </w:p>
    <w:p>
      <w:pPr>
        <w:pStyle w:val="8"/>
        <w:spacing w:before="8"/>
        <w:rPr>
          <w:rFonts w:ascii="黑体"/>
          <w:color w:val="000000" w:themeColor="text1"/>
          <w:sz w:val="28"/>
          <w:highlight w:val="none"/>
          <w14:textFill>
            <w14:solidFill>
              <w14:schemeClr w14:val="tx1"/>
            </w14:solidFill>
          </w14:textFill>
        </w:rPr>
      </w:pPr>
    </w:p>
    <w:p>
      <w:pPr>
        <w:spacing w:before="75" w:line="374" w:lineRule="auto"/>
        <w:ind w:left="3530" w:right="4861"/>
        <w:rPr>
          <w:rFonts w:hint="eastAsia" w:eastAsia="宋体"/>
          <w:color w:val="000000" w:themeColor="text1"/>
          <w:sz w:val="18"/>
          <w:highlight w:val="none"/>
          <w:lang w:eastAsia="zh-CN"/>
          <w14:textFill>
            <w14:solidFill>
              <w14:schemeClr w14:val="tx1"/>
            </w14:solidFill>
          </w14:textFill>
        </w:rPr>
      </w:pPr>
      <w:r>
        <w:rPr>
          <w:color w:val="000000" w:themeColor="text1"/>
          <w:sz w:val="22"/>
          <w:highlight w:val="none"/>
          <w14:textFill>
            <w14:solidFill>
              <w14:schemeClr w14:val="tx1"/>
            </w14:solidFill>
          </w14:textFill>
        </w:rPr>
        <mc:AlternateContent>
          <mc:Choice Requires="wpg">
            <w:drawing>
              <wp:anchor distT="0" distB="0" distL="114300" distR="114300" simplePos="0" relativeHeight="251663360" behindDoc="1" locked="0" layoutInCell="1" allowOverlap="1">
                <wp:simplePos x="0" y="0"/>
                <wp:positionH relativeFrom="page">
                  <wp:posOffset>1318260</wp:posOffset>
                </wp:positionH>
                <wp:positionV relativeFrom="paragraph">
                  <wp:posOffset>111760</wp:posOffset>
                </wp:positionV>
                <wp:extent cx="1147445" cy="1012190"/>
                <wp:effectExtent l="0" t="0" r="14605" b="16510"/>
                <wp:wrapNone/>
                <wp:docPr id="87" name="组合 87"/>
                <wp:cNvGraphicFramePr/>
                <a:graphic xmlns:a="http://schemas.openxmlformats.org/drawingml/2006/main">
                  <a:graphicData uri="http://schemas.microsoft.com/office/word/2010/wordprocessingGroup">
                    <wpg:wgp>
                      <wpg:cNvGrpSpPr/>
                      <wpg:grpSpPr>
                        <a:xfrm>
                          <a:off x="0" y="0"/>
                          <a:ext cx="1147445" cy="1012190"/>
                          <a:chOff x="0" y="0"/>
                          <a:chExt cx="1807" cy="1594"/>
                        </a:xfrm>
                      </wpg:grpSpPr>
                      <wps:wsp>
                        <wps:cNvPr id="80" name="直接连接符 80"/>
                        <wps:cNvCnPr/>
                        <wps:spPr>
                          <a:xfrm>
                            <a:off x="45" y="10"/>
                            <a:ext cx="1728" cy="0"/>
                          </a:xfrm>
                          <a:prstGeom prst="line">
                            <a:avLst/>
                          </a:prstGeom>
                          <a:ln w="9525" cap="flat" cmpd="sng">
                            <a:solidFill>
                              <a:srgbClr val="000000"/>
                            </a:solidFill>
                            <a:prstDash val="solid"/>
                            <a:headEnd type="none" w="med" len="med"/>
                            <a:tailEnd type="none" w="med" len="med"/>
                          </a:ln>
                        </wps:spPr>
                        <wps:bodyPr upright="1"/>
                      </wps:wsp>
                      <wps:wsp>
                        <wps:cNvPr id="81" name="任意多边形 81"/>
                        <wps:cNvSpPr/>
                        <wps:spPr>
                          <a:xfrm>
                            <a:off x="0" y="0"/>
                            <a:ext cx="120" cy="1367"/>
                          </a:xfrm>
                          <a:custGeom>
                            <a:avLst/>
                            <a:gdLst>
                              <a:gd name="A1" fmla="val 0"/>
                              <a:gd name="A2" fmla="val 0"/>
                              <a:gd name="txL" fmla="*/ 0 w 120"/>
                              <a:gd name="txT" fmla="*/ 0 h 1367"/>
                              <a:gd name="txR" fmla="*/ 120 w 120"/>
                              <a:gd name="txB" fmla="*/ 1367 h 1367"/>
                            </a:gdLst>
                            <a:ahLst/>
                            <a:cxnLst/>
                            <a:rect l="txL" t="txT" r="txR" b="txB"/>
                            <a:pathLst>
                              <a:path w="120" h="1367">
                                <a:moveTo>
                                  <a:pt x="50" y="1247"/>
                                </a:moveTo>
                                <a:lnTo>
                                  <a:pt x="0" y="1247"/>
                                </a:lnTo>
                                <a:lnTo>
                                  <a:pt x="60" y="1367"/>
                                </a:lnTo>
                                <a:lnTo>
                                  <a:pt x="105" y="1277"/>
                                </a:lnTo>
                                <a:lnTo>
                                  <a:pt x="54" y="1277"/>
                                </a:lnTo>
                                <a:lnTo>
                                  <a:pt x="50" y="1273"/>
                                </a:lnTo>
                                <a:lnTo>
                                  <a:pt x="50" y="1247"/>
                                </a:lnTo>
                                <a:close/>
                                <a:moveTo>
                                  <a:pt x="66" y="0"/>
                                </a:moveTo>
                                <a:lnTo>
                                  <a:pt x="54" y="0"/>
                                </a:lnTo>
                                <a:lnTo>
                                  <a:pt x="50" y="4"/>
                                </a:lnTo>
                                <a:lnTo>
                                  <a:pt x="50" y="1273"/>
                                </a:lnTo>
                                <a:lnTo>
                                  <a:pt x="54" y="1277"/>
                                </a:lnTo>
                                <a:lnTo>
                                  <a:pt x="66" y="1277"/>
                                </a:lnTo>
                                <a:lnTo>
                                  <a:pt x="70" y="1273"/>
                                </a:lnTo>
                                <a:lnTo>
                                  <a:pt x="70" y="4"/>
                                </a:lnTo>
                                <a:lnTo>
                                  <a:pt x="66" y="0"/>
                                </a:lnTo>
                                <a:close/>
                                <a:moveTo>
                                  <a:pt x="120" y="1247"/>
                                </a:moveTo>
                                <a:lnTo>
                                  <a:pt x="70" y="1247"/>
                                </a:lnTo>
                                <a:lnTo>
                                  <a:pt x="70" y="1273"/>
                                </a:lnTo>
                                <a:lnTo>
                                  <a:pt x="66" y="1277"/>
                                </a:lnTo>
                                <a:lnTo>
                                  <a:pt x="105" y="1277"/>
                                </a:lnTo>
                                <a:lnTo>
                                  <a:pt x="120" y="1247"/>
                                </a:lnTo>
                                <a:close/>
                              </a:path>
                            </a:pathLst>
                          </a:custGeom>
                          <a:solidFill>
                            <a:srgbClr val="000000"/>
                          </a:solidFill>
                          <a:ln w="9525">
                            <a:noFill/>
                          </a:ln>
                        </wps:spPr>
                        <wps:bodyPr upright="1"/>
                      </wps:wsp>
                      <wps:wsp>
                        <wps:cNvPr id="82" name="直接连接符 82"/>
                        <wps:cNvCnPr/>
                        <wps:spPr>
                          <a:xfrm>
                            <a:off x="364" y="371"/>
                            <a:ext cx="1440" cy="0"/>
                          </a:xfrm>
                          <a:prstGeom prst="line">
                            <a:avLst/>
                          </a:prstGeom>
                          <a:ln w="9525" cap="flat" cmpd="sng">
                            <a:solidFill>
                              <a:srgbClr val="000000"/>
                            </a:solidFill>
                            <a:prstDash val="solid"/>
                            <a:headEnd type="none" w="med" len="med"/>
                            <a:tailEnd type="none" w="med" len="med"/>
                          </a:ln>
                        </wps:spPr>
                        <wps:bodyPr upright="1"/>
                      </wps:wsp>
                      <wps:wsp>
                        <wps:cNvPr id="83" name="任意多边形 83"/>
                        <wps:cNvSpPr/>
                        <wps:spPr>
                          <a:xfrm>
                            <a:off x="306" y="360"/>
                            <a:ext cx="120" cy="1007"/>
                          </a:xfrm>
                          <a:custGeom>
                            <a:avLst/>
                            <a:gdLst>
                              <a:gd name="A1" fmla="val 0"/>
                              <a:gd name="A2" fmla="val 0"/>
                              <a:gd name="txL" fmla="*/ 0 w 120"/>
                              <a:gd name="txT" fmla="*/ 0 h 1007"/>
                              <a:gd name="txR" fmla="*/ 120 w 120"/>
                              <a:gd name="txB" fmla="*/ 1007 h 1007"/>
                            </a:gdLst>
                            <a:ahLst/>
                            <a:cxnLst/>
                            <a:rect l="txL" t="txT" r="txR" b="txB"/>
                            <a:pathLst>
                              <a:path w="120" h="1007">
                                <a:moveTo>
                                  <a:pt x="50" y="887"/>
                                </a:moveTo>
                                <a:lnTo>
                                  <a:pt x="0" y="887"/>
                                </a:lnTo>
                                <a:lnTo>
                                  <a:pt x="60" y="1007"/>
                                </a:lnTo>
                                <a:lnTo>
                                  <a:pt x="105" y="917"/>
                                </a:lnTo>
                                <a:lnTo>
                                  <a:pt x="54" y="917"/>
                                </a:lnTo>
                                <a:lnTo>
                                  <a:pt x="50" y="913"/>
                                </a:lnTo>
                                <a:lnTo>
                                  <a:pt x="50" y="887"/>
                                </a:lnTo>
                                <a:close/>
                                <a:moveTo>
                                  <a:pt x="66" y="0"/>
                                </a:moveTo>
                                <a:lnTo>
                                  <a:pt x="54" y="0"/>
                                </a:lnTo>
                                <a:lnTo>
                                  <a:pt x="50" y="4"/>
                                </a:lnTo>
                                <a:lnTo>
                                  <a:pt x="50" y="913"/>
                                </a:lnTo>
                                <a:lnTo>
                                  <a:pt x="54" y="917"/>
                                </a:lnTo>
                                <a:lnTo>
                                  <a:pt x="66" y="917"/>
                                </a:lnTo>
                                <a:lnTo>
                                  <a:pt x="70" y="913"/>
                                </a:lnTo>
                                <a:lnTo>
                                  <a:pt x="70" y="4"/>
                                </a:lnTo>
                                <a:lnTo>
                                  <a:pt x="66" y="0"/>
                                </a:lnTo>
                                <a:close/>
                                <a:moveTo>
                                  <a:pt x="120" y="887"/>
                                </a:moveTo>
                                <a:lnTo>
                                  <a:pt x="70" y="887"/>
                                </a:lnTo>
                                <a:lnTo>
                                  <a:pt x="70" y="913"/>
                                </a:lnTo>
                                <a:lnTo>
                                  <a:pt x="66" y="917"/>
                                </a:lnTo>
                                <a:lnTo>
                                  <a:pt x="105" y="917"/>
                                </a:lnTo>
                                <a:lnTo>
                                  <a:pt x="120" y="887"/>
                                </a:lnTo>
                                <a:close/>
                              </a:path>
                            </a:pathLst>
                          </a:custGeom>
                          <a:solidFill>
                            <a:srgbClr val="000000"/>
                          </a:solidFill>
                          <a:ln w="9525">
                            <a:noFill/>
                          </a:ln>
                        </wps:spPr>
                        <wps:bodyPr upright="1"/>
                      </wps:wsp>
                      <wps:wsp>
                        <wps:cNvPr id="84" name="直接连接符 84"/>
                        <wps:cNvCnPr/>
                        <wps:spPr>
                          <a:xfrm>
                            <a:off x="618" y="722"/>
                            <a:ext cx="1189" cy="0"/>
                          </a:xfrm>
                          <a:prstGeom prst="line">
                            <a:avLst/>
                          </a:prstGeom>
                          <a:ln w="9525" cap="flat" cmpd="sng">
                            <a:solidFill>
                              <a:srgbClr val="000000"/>
                            </a:solidFill>
                            <a:prstDash val="solid"/>
                            <a:headEnd type="none" w="med" len="med"/>
                            <a:tailEnd type="none" w="med" len="med"/>
                          </a:ln>
                        </wps:spPr>
                        <wps:bodyPr upright="1"/>
                      </wps:wsp>
                      <wps:wsp>
                        <wps:cNvPr id="85" name="任意多边形 85"/>
                        <wps:cNvSpPr/>
                        <wps:spPr>
                          <a:xfrm>
                            <a:off x="557" y="712"/>
                            <a:ext cx="399" cy="882"/>
                          </a:xfrm>
                          <a:custGeom>
                            <a:avLst/>
                            <a:gdLst>
                              <a:gd name="A1" fmla="val 0"/>
                              <a:gd name="A2" fmla="val 0"/>
                              <a:gd name="txL" fmla="*/ 0 w 399"/>
                              <a:gd name="txT" fmla="*/ 0 h 882"/>
                              <a:gd name="txR" fmla="*/ 399 w 399"/>
                              <a:gd name="txB" fmla="*/ 882 h 882"/>
                            </a:gdLst>
                            <a:ahLst/>
                            <a:cxnLst/>
                            <a:rect l="txL" t="txT" r="txR" b="txB"/>
                            <a:pathLst>
                              <a:path w="399" h="882">
                                <a:moveTo>
                                  <a:pt x="120" y="762"/>
                                </a:moveTo>
                                <a:lnTo>
                                  <a:pt x="70" y="762"/>
                                </a:lnTo>
                                <a:lnTo>
                                  <a:pt x="70" y="4"/>
                                </a:lnTo>
                                <a:lnTo>
                                  <a:pt x="66" y="0"/>
                                </a:lnTo>
                                <a:lnTo>
                                  <a:pt x="54" y="0"/>
                                </a:lnTo>
                                <a:lnTo>
                                  <a:pt x="50" y="4"/>
                                </a:lnTo>
                                <a:lnTo>
                                  <a:pt x="50" y="762"/>
                                </a:lnTo>
                                <a:lnTo>
                                  <a:pt x="0" y="762"/>
                                </a:lnTo>
                                <a:lnTo>
                                  <a:pt x="60" y="882"/>
                                </a:lnTo>
                                <a:lnTo>
                                  <a:pt x="105" y="792"/>
                                </a:lnTo>
                                <a:lnTo>
                                  <a:pt x="120" y="762"/>
                                </a:lnTo>
                                <a:moveTo>
                                  <a:pt x="399" y="746"/>
                                </a:moveTo>
                                <a:lnTo>
                                  <a:pt x="349" y="746"/>
                                </a:lnTo>
                                <a:lnTo>
                                  <a:pt x="349" y="397"/>
                                </a:lnTo>
                                <a:lnTo>
                                  <a:pt x="345" y="393"/>
                                </a:lnTo>
                                <a:lnTo>
                                  <a:pt x="333" y="393"/>
                                </a:lnTo>
                                <a:lnTo>
                                  <a:pt x="329" y="397"/>
                                </a:lnTo>
                                <a:lnTo>
                                  <a:pt x="329" y="746"/>
                                </a:lnTo>
                                <a:lnTo>
                                  <a:pt x="279" y="746"/>
                                </a:lnTo>
                                <a:lnTo>
                                  <a:pt x="339" y="866"/>
                                </a:lnTo>
                                <a:lnTo>
                                  <a:pt x="384" y="776"/>
                                </a:lnTo>
                                <a:lnTo>
                                  <a:pt x="399" y="746"/>
                                </a:lnTo>
                              </a:path>
                            </a:pathLst>
                          </a:custGeom>
                          <a:solidFill>
                            <a:srgbClr val="000000"/>
                          </a:solidFill>
                          <a:ln w="9525">
                            <a:noFill/>
                          </a:ln>
                        </wps:spPr>
                        <wps:bodyPr upright="1"/>
                      </wps:wsp>
                      <wps:wsp>
                        <wps:cNvPr id="86" name="直接连接符 86"/>
                        <wps:cNvCnPr/>
                        <wps:spPr>
                          <a:xfrm>
                            <a:off x="896" y="1115"/>
                            <a:ext cx="911"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03.8pt;margin-top:8.8pt;height:79.7pt;width:90.35pt;mso-position-horizontal-relative:page;z-index:-251653120;mso-width-relative:page;mso-height-relative:page;" coordsize="1807,1594" o:gfxdata="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">
                <o:lock v:ext="edit" aspectratio="f"/>
                <v:line id="_x0000_s1026" o:spid="_x0000_s1026" o:spt="20" style="position:absolute;left:45;top:10;height:0;width:1728;"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00" style="position:absolute;left:0;top:0;height:1367;width:120;" fillcolor="#000000" filled="t" stroked="f" coordsize="120,1367" o:gfxdata="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w3RDtwAAANsAAAAP&#10;AAAAAAAAAAEAIAAAACIAAABkcnMvZG93bnJldi54bWxQSwECFAAUAAAACACHTuJAMy8FnjsAAAA5&#10;AAAAEAAAAAAAAAABACAAAAAGAQAAZHJzL3NoYXBleG1sLnhtbFBLBQYAAAAABgAGAFsBAACwAwAA&#10;AAA=&#10;" path="m50,1247l0,1247,60,1367,105,1277,54,1277,50,1273,50,1247xm66,0l54,0,50,4,50,1273,54,1277,66,1277,70,1273,70,4,66,0xm120,1247l70,1247,70,1273,66,1277,105,1277,120,1247xe">
                  <v:fill on="t" focussize="0,0"/>
                  <v:stroke on="f"/>
                  <v:imagedata o:title=""/>
                  <o:lock v:ext="edit" aspectratio="f"/>
                </v:shape>
                <v:line id="_x0000_s1026" o:spid="_x0000_s1026" o:spt="20" style="position:absolute;left:364;top:371;height:0;width:1440;"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0" style="position:absolute;left:306;top:360;height:1007;width:120;" fillcolor="#000000" filled="t" stroked="f" coordsize="120,1007" o:gfxdata="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vU/m8AAAA&#10;2wAAAA8AAAAAAAAAAQAgAAAAIgAAAGRycy9kb3ducmV2LnhtbFBLAQIUABQAAAAIAIdO4kAzLwWe&#10;OwAAADkAAAAQAAAAAAAAAAEAIAAAAAsBAABkcnMvc2hhcGV4bWwueG1sUEsFBgAAAAAGAAYAWwEA&#10;ALUDAAAAAA==&#10;" path="m50,887l0,887,60,1007,105,917,54,917,50,913,50,887xm66,0l54,0,50,4,50,913,54,917,66,917,70,913,70,4,66,0xm120,887l70,887,70,913,66,917,105,917,120,887xe">
                  <v:fill on="t" focussize="0,0"/>
                  <v:stroke on="f"/>
                  <v:imagedata o:title=""/>
                  <o:lock v:ext="edit" aspectratio="f"/>
                </v:shape>
                <v:line id="_x0000_s1026" o:spid="_x0000_s1026" o:spt="20" style="position:absolute;left:618;top:722;height:0;width:1189;"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0" style="position:absolute;left:557;top:712;height:882;width:399;" fillcolor="#000000" filled="t" stroked="f" coordsize="399,882" o:gfxdata="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RvRnugAAANsA&#10;AAAPAAAAAAAAAAEAIAAAACIAAABkcnMvZG93bnJldi54bWxQSwECFAAUAAAACACHTuJAMy8FnjsA&#10;AAA5AAAAEAAAAAAAAAABACAAAAAJAQAAZHJzL3NoYXBleG1sLnhtbFBLBQYAAAAABgAGAFsBAACz&#10;AwAAAAA=&#10;" path="m120,762l70,762,70,4,66,0,54,0,50,4,50,762,0,762,60,882,105,792,120,762m399,746l349,746,349,397,345,393,333,393,329,397,329,746,279,746,339,866,384,776,399,746e">
                  <v:fill on="t" focussize="0,0"/>
                  <v:stroke on="f"/>
                  <v:imagedata o:title=""/>
                  <o:lock v:ext="edit" aspectratio="f"/>
                </v:shape>
                <v:line id="_x0000_s1026" o:spid="_x0000_s1026" o:spt="20" style="position:absolute;left:896;top:1115;height:0;width:911;"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color w:val="000000" w:themeColor="text1"/>
          <w:sz w:val="18"/>
          <w:highlight w:val="none"/>
          <w14:textFill>
            <w14:solidFill>
              <w14:schemeClr w14:val="tx1"/>
            </w14:solidFill>
          </w14:textFill>
        </w:rPr>
        <w:t xml:space="preserve">损伤范围 </w:t>
      </w:r>
      <w:r>
        <w:rPr>
          <w:rFonts w:hint="eastAsia"/>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一级限定值</w:t>
      </w:r>
      <w:r>
        <w:rPr>
          <w:rFonts w:hint="eastAsia"/>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 xml:space="preserve"> 损伤性质 </w:t>
      </w:r>
      <w:r>
        <w:rPr>
          <w:rFonts w:hint="eastAsia"/>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二级限定值</w:t>
      </w:r>
      <w:r>
        <w:rPr>
          <w:rFonts w:hint="eastAsia"/>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 xml:space="preserve"> 损伤部位 </w:t>
      </w:r>
      <w:r>
        <w:rPr>
          <w:rFonts w:hint="eastAsia"/>
          <w:color w:val="000000" w:themeColor="text1"/>
          <w:sz w:val="18"/>
          <w:highlight w:val="none"/>
          <w:lang w:eastAsia="zh-CN"/>
          <w14:textFill>
            <w14:solidFill>
              <w14:schemeClr w14:val="tx1"/>
            </w14:solidFill>
          </w14:textFill>
        </w:rPr>
        <w:t>（</w:t>
      </w:r>
      <w:r>
        <w:rPr>
          <w:color w:val="000000" w:themeColor="text1"/>
          <w:sz w:val="18"/>
          <w:highlight w:val="none"/>
          <w14:textFill>
            <w14:solidFill>
              <w14:schemeClr w14:val="tx1"/>
            </w14:solidFill>
          </w14:textFill>
        </w:rPr>
        <w:t>三级限定值</w:t>
      </w:r>
      <w:r>
        <w:rPr>
          <w:rFonts w:hint="eastAsia"/>
          <w:color w:val="000000" w:themeColor="text1"/>
          <w:sz w:val="18"/>
          <w:highlight w:val="none"/>
          <w:lang w:eastAsia="zh-CN"/>
          <w14:textFill>
            <w14:solidFill>
              <w14:schemeClr w14:val="tx1"/>
            </w14:solidFill>
          </w14:textFill>
        </w:rPr>
        <w:t>）</w:t>
      </w:r>
    </w:p>
    <w:p>
      <w:pPr>
        <w:spacing w:before="1"/>
        <w:ind w:right="163"/>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损伤程度或其他（自定义四级限定值）</w:t>
      </w:r>
    </w:p>
    <w:p>
      <w:pPr>
        <w:pStyle w:val="8"/>
        <w:spacing w:before="6"/>
        <w:rPr>
          <w:color w:val="000000" w:themeColor="text1"/>
          <w:sz w:val="22"/>
          <w:highlight w:val="none"/>
          <w14:textFill>
            <w14:solidFill>
              <w14:schemeClr w14:val="tx1"/>
            </w14:solidFill>
          </w14:textFill>
        </w:rPr>
      </w:pPr>
    </w:p>
    <w:p>
      <w:pPr>
        <w:ind w:left="597"/>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s7300.</w:t>
      </w:r>
      <w:r>
        <w:rPr>
          <w:color w:val="000000" w:themeColor="text1"/>
          <w:sz w:val="18"/>
          <w:highlight w:val="none"/>
          <w:u w:val="single"/>
          <w14:textFill>
            <w14:solidFill>
              <w14:schemeClr w14:val="tx1"/>
            </w14:solidFill>
          </w14:textFill>
        </w:rPr>
        <w:t xml:space="preserve">     </w:t>
      </w:r>
      <w:r>
        <w:rPr>
          <w:color w:val="000000" w:themeColor="text1"/>
          <w:sz w:val="18"/>
          <w:highlight w:val="none"/>
          <w14:textFill>
            <w14:solidFill>
              <w14:schemeClr w14:val="tx1"/>
            </w14:solidFill>
          </w14:textFill>
        </w:rPr>
        <w:t xml:space="preserve"> </w:t>
      </w:r>
      <w:r>
        <w:rPr>
          <w:color w:val="000000" w:themeColor="text1"/>
          <w:sz w:val="18"/>
          <w:highlight w:val="none"/>
          <w:u w:val="single"/>
          <w14:textFill>
            <w14:solidFill>
              <w14:schemeClr w14:val="tx1"/>
            </w14:solidFill>
          </w14:textFill>
        </w:rPr>
        <w:t xml:space="preserve">     </w:t>
      </w:r>
      <w:r>
        <w:rPr>
          <w:color w:val="000000" w:themeColor="text1"/>
          <w:sz w:val="18"/>
          <w:highlight w:val="none"/>
          <w14:textFill>
            <w14:solidFill>
              <w14:schemeClr w14:val="tx1"/>
            </w14:solidFill>
          </w14:textFill>
        </w:rPr>
        <w:t xml:space="preserve"> </w:t>
      </w:r>
      <w:r>
        <w:rPr>
          <w:color w:val="000000" w:themeColor="text1"/>
          <w:sz w:val="18"/>
          <w:highlight w:val="none"/>
          <w:u w:val="single"/>
          <w14:textFill>
            <w14:solidFill>
              <w14:schemeClr w14:val="tx1"/>
            </w14:solidFill>
          </w14:textFill>
        </w:rPr>
        <w:t xml:space="preserve">     </w:t>
      </w:r>
      <w:r>
        <w:rPr>
          <w:color w:val="000000" w:themeColor="text1"/>
          <w:sz w:val="18"/>
          <w:highlight w:val="none"/>
          <w14:textFill>
            <w14:solidFill>
              <w14:schemeClr w14:val="tx1"/>
            </w14:solidFill>
          </w14:textFill>
        </w:rPr>
        <w:t xml:space="preserve"> </w:t>
      </w:r>
      <w:r>
        <w:rPr>
          <w:color w:val="000000" w:themeColor="text1"/>
          <w:sz w:val="18"/>
          <w:highlight w:val="none"/>
          <w:u w:val="single"/>
          <w14:textFill>
            <w14:solidFill>
              <w14:schemeClr w14:val="tx1"/>
            </w14:solidFill>
          </w14:textFill>
        </w:rPr>
        <w:t xml:space="preserve">  </w:t>
      </w:r>
    </w:p>
    <w:p>
      <w:pPr>
        <w:pStyle w:val="8"/>
        <w:spacing w:before="113"/>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身体结构的各级限定值的具体说明如表</w:t>
      </w:r>
      <w:r>
        <w:rPr>
          <w:rFonts w:ascii="Times New Roman" w:eastAsia="Times New Roman"/>
          <w:color w:val="000000" w:themeColor="text1"/>
          <w:highlight w:val="none"/>
          <w14:textFill>
            <w14:solidFill>
              <w14:schemeClr w14:val="tx1"/>
            </w14:solidFill>
          </w14:textFill>
        </w:rPr>
        <w:t>A6</w:t>
      </w:r>
      <w:r>
        <w:rPr>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7"/>
        <w:rPr>
          <w:color w:val="000000" w:themeColor="text1"/>
          <w:sz w:val="14"/>
          <w:highlight w:val="none"/>
          <w14:textFill>
            <w14:solidFill>
              <w14:schemeClr w14:val="tx1"/>
            </w14:solidFill>
          </w14:textFill>
        </w:rPr>
      </w:pPr>
    </w:p>
    <w:p>
      <w:pPr>
        <w:pStyle w:val="8"/>
        <w:spacing w:before="72" w:after="20"/>
        <w:ind w:left="4937"/>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表 A6</w:t>
      </w:r>
    </w:p>
    <w:tbl>
      <w:tblPr>
        <w:tblStyle w:val="14"/>
        <w:tblW w:w="9576"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7"/>
        <w:gridCol w:w="2533"/>
        <w:gridCol w:w="1921"/>
        <w:gridCol w:w="2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677" w:type="dxa"/>
            <w:vAlign w:val="top"/>
          </w:tcPr>
          <w:p>
            <w:pPr>
              <w:pStyle w:val="24"/>
              <w:spacing w:before="2" w:line="240" w:lineRule="atLeast"/>
              <w:ind w:right="1657"/>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一级限定值损伤的范围</w:t>
            </w:r>
          </w:p>
        </w:tc>
        <w:tc>
          <w:tcPr>
            <w:tcW w:w="2533" w:type="dxa"/>
            <w:vAlign w:val="top"/>
          </w:tcPr>
          <w:p>
            <w:pPr>
              <w:pStyle w:val="24"/>
              <w:spacing w:before="2" w:line="240" w:lineRule="atLeast"/>
              <w:ind w:right="151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二级限定值损伤的性质</w:t>
            </w:r>
          </w:p>
        </w:tc>
        <w:tc>
          <w:tcPr>
            <w:tcW w:w="1921" w:type="dxa"/>
            <w:vAlign w:val="top"/>
          </w:tcPr>
          <w:p>
            <w:pPr>
              <w:pStyle w:val="24"/>
              <w:spacing w:before="2" w:line="240" w:lineRule="atLeast"/>
              <w:ind w:left="109" w:right="89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三级限定值损伤的部位</w:t>
            </w:r>
          </w:p>
        </w:tc>
        <w:tc>
          <w:tcPr>
            <w:tcW w:w="2445" w:type="dxa"/>
            <w:vAlign w:val="top"/>
          </w:tcPr>
          <w:p>
            <w:pPr>
              <w:pStyle w:val="24"/>
              <w:ind w:left="10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四级限定值</w:t>
            </w:r>
          </w:p>
          <w:p>
            <w:pPr>
              <w:pStyle w:val="24"/>
              <w:spacing w:before="10" w:line="208" w:lineRule="exact"/>
              <w:ind w:left="10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损伤的程度或其他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8" w:hRule="atLeast"/>
        </w:trPr>
        <w:tc>
          <w:tcPr>
            <w:tcW w:w="2677" w:type="dxa"/>
            <w:vAlign w:val="top"/>
          </w:tcPr>
          <w:p>
            <w:pPr>
              <w:pStyle w:val="24"/>
              <w:tabs>
                <w:tab w:val="left" w:pos="467"/>
              </w:tabs>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0</w:t>
            </w:r>
            <w:r>
              <w:rPr>
                <w:rFonts w:ascii="Times New Roman" w:eastAsia="Times New Roman"/>
                <w:color w:val="000000" w:themeColor="text1"/>
                <w:sz w:val="18"/>
                <w:highlight w:val="none"/>
                <w14:textFill>
                  <w14:solidFill>
                    <w14:schemeClr w14:val="tx1"/>
                  </w14:solidFill>
                </w14:textFill>
              </w:rPr>
              <w:tab/>
            </w:r>
            <w:r>
              <w:rPr>
                <w:color w:val="000000" w:themeColor="text1"/>
                <w:sz w:val="18"/>
                <w:highlight w:val="none"/>
                <w14:textFill>
                  <w14:solidFill>
                    <w14:schemeClr w14:val="tx1"/>
                  </w14:solidFill>
                </w14:textFill>
              </w:rPr>
              <w:t>没有损伤</w:t>
            </w:r>
          </w:p>
          <w:p>
            <w:pPr>
              <w:pStyle w:val="24"/>
              <w:tabs>
                <w:tab w:val="left" w:pos="467"/>
              </w:tabs>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1</w:t>
            </w:r>
            <w:r>
              <w:rPr>
                <w:rFonts w:ascii="Times New Roman" w:eastAsia="Times New Roman"/>
                <w:color w:val="000000" w:themeColor="text1"/>
                <w:sz w:val="18"/>
                <w:highlight w:val="none"/>
                <w14:textFill>
                  <w14:solidFill>
                    <w14:schemeClr w14:val="tx1"/>
                  </w14:solidFill>
                </w14:textFill>
              </w:rPr>
              <w:tab/>
            </w:r>
            <w:r>
              <w:rPr>
                <w:color w:val="000000" w:themeColor="text1"/>
                <w:sz w:val="18"/>
                <w:highlight w:val="none"/>
                <w14:textFill>
                  <w14:solidFill>
                    <w14:schemeClr w14:val="tx1"/>
                  </w14:solidFill>
                </w14:textFill>
              </w:rPr>
              <w:t>轻度损伤（</w:t>
            </w:r>
            <w:r>
              <w:rPr>
                <w:rFonts w:ascii="Times New Roman" w:eastAsia="Times New Roman"/>
                <w:color w:val="000000" w:themeColor="text1"/>
                <w:sz w:val="18"/>
                <w:highlight w:val="none"/>
                <w14:textFill>
                  <w14:solidFill>
                    <w14:schemeClr w14:val="tx1"/>
                  </w14:solidFill>
                </w14:textFill>
              </w:rPr>
              <w:t>5-24</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w:t>
            </w:r>
          </w:p>
          <w:p>
            <w:pPr>
              <w:pStyle w:val="24"/>
              <w:tabs>
                <w:tab w:val="left" w:pos="467"/>
              </w:tabs>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2</w:t>
            </w:r>
            <w:r>
              <w:rPr>
                <w:rFonts w:ascii="Times New Roman" w:eastAsia="Times New Roman"/>
                <w:color w:val="000000" w:themeColor="text1"/>
                <w:sz w:val="18"/>
                <w:highlight w:val="none"/>
                <w14:textFill>
                  <w14:solidFill>
                    <w14:schemeClr w14:val="tx1"/>
                  </w14:solidFill>
                </w14:textFill>
              </w:rPr>
              <w:tab/>
            </w:r>
            <w:r>
              <w:rPr>
                <w:color w:val="000000" w:themeColor="text1"/>
                <w:sz w:val="18"/>
                <w:highlight w:val="none"/>
                <w14:textFill>
                  <w14:solidFill>
                    <w14:schemeClr w14:val="tx1"/>
                  </w14:solidFill>
                </w14:textFill>
              </w:rPr>
              <w:t>中度损伤（</w:t>
            </w:r>
            <w:r>
              <w:rPr>
                <w:rFonts w:ascii="Times New Roman" w:eastAsia="Times New Roman"/>
                <w:color w:val="000000" w:themeColor="text1"/>
                <w:sz w:val="18"/>
                <w:highlight w:val="none"/>
                <w14:textFill>
                  <w14:solidFill>
                    <w14:schemeClr w14:val="tx1"/>
                  </w14:solidFill>
                </w14:textFill>
              </w:rPr>
              <w:t>25-49</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w:t>
            </w:r>
          </w:p>
          <w:p>
            <w:pPr>
              <w:pStyle w:val="24"/>
              <w:tabs>
                <w:tab w:val="left" w:pos="467"/>
              </w:tabs>
              <w:spacing w:before="9"/>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3</w:t>
            </w:r>
            <w:r>
              <w:rPr>
                <w:rFonts w:ascii="Times New Roman" w:eastAsia="Times New Roman"/>
                <w:color w:val="000000" w:themeColor="text1"/>
                <w:sz w:val="18"/>
                <w:highlight w:val="none"/>
                <w14:textFill>
                  <w14:solidFill>
                    <w14:schemeClr w14:val="tx1"/>
                  </w14:solidFill>
                </w14:textFill>
              </w:rPr>
              <w:tab/>
            </w:r>
            <w:r>
              <w:rPr>
                <w:color w:val="000000" w:themeColor="text1"/>
                <w:sz w:val="18"/>
                <w:highlight w:val="none"/>
                <w14:textFill>
                  <w14:solidFill>
                    <w14:schemeClr w14:val="tx1"/>
                  </w14:solidFill>
                </w14:textFill>
              </w:rPr>
              <w:t>重度损伤（</w:t>
            </w:r>
            <w:r>
              <w:rPr>
                <w:rFonts w:ascii="Times New Roman" w:eastAsia="Times New Roman"/>
                <w:color w:val="000000" w:themeColor="text1"/>
                <w:sz w:val="18"/>
                <w:highlight w:val="none"/>
                <w14:textFill>
                  <w14:solidFill>
                    <w14:schemeClr w14:val="tx1"/>
                  </w14:solidFill>
                </w14:textFill>
              </w:rPr>
              <w:t>50-95</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w:t>
            </w:r>
          </w:p>
          <w:p>
            <w:pPr>
              <w:pStyle w:val="24"/>
              <w:tabs>
                <w:tab w:val="left" w:pos="467"/>
              </w:tabs>
              <w:spacing w:before="1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4</w:t>
            </w:r>
            <w:r>
              <w:rPr>
                <w:rFonts w:ascii="Times New Roman" w:eastAsia="Times New Roman"/>
                <w:color w:val="000000" w:themeColor="text1"/>
                <w:sz w:val="18"/>
                <w:highlight w:val="none"/>
                <w14:textFill>
                  <w14:solidFill>
                    <w14:schemeClr w14:val="tx1"/>
                  </w14:solidFill>
                </w14:textFill>
              </w:rPr>
              <w:tab/>
            </w:r>
            <w:r>
              <w:rPr>
                <w:color w:val="000000" w:themeColor="text1"/>
                <w:sz w:val="18"/>
                <w:highlight w:val="none"/>
                <w14:textFill>
                  <w14:solidFill>
                    <w14:schemeClr w14:val="tx1"/>
                  </w14:solidFill>
                </w14:textFill>
              </w:rPr>
              <w:t>完全损伤（</w:t>
            </w:r>
            <w:r>
              <w:rPr>
                <w:rFonts w:ascii="Times New Roman" w:eastAsia="Times New Roman"/>
                <w:color w:val="000000" w:themeColor="text1"/>
                <w:sz w:val="18"/>
                <w:highlight w:val="none"/>
                <w14:textFill>
                  <w14:solidFill>
                    <w14:schemeClr w14:val="tx1"/>
                  </w14:solidFill>
                </w14:textFill>
              </w:rPr>
              <w:t>96-100</w:t>
            </w:r>
            <w:r>
              <w:rPr>
                <w:rFonts w:ascii="Times New Roman" w:eastAsia="Times New Roman"/>
                <w:color w:val="000000" w:themeColor="text1"/>
                <w:spacing w:val="-1"/>
                <w:sz w:val="18"/>
                <w:highlight w:val="none"/>
                <w14:textFill>
                  <w14:solidFill>
                    <w14:schemeClr w14:val="tx1"/>
                  </w14:solidFill>
                </w14:textFill>
              </w:rPr>
              <w:t xml:space="preserve"> %</w:t>
            </w:r>
            <w:r>
              <w:rPr>
                <w:color w:val="000000" w:themeColor="text1"/>
                <w:sz w:val="18"/>
                <w:highlight w:val="none"/>
                <w14:textFill>
                  <w14:solidFill>
                    <w14:schemeClr w14:val="tx1"/>
                  </w14:solidFill>
                </w14:textFill>
              </w:rPr>
              <w:t>）</w:t>
            </w:r>
          </w:p>
          <w:p>
            <w:pPr>
              <w:pStyle w:val="24"/>
              <w:spacing w:before="5"/>
              <w:ind w:left="0"/>
              <w:rPr>
                <w:rFonts w:ascii="黑体"/>
                <w:color w:val="000000" w:themeColor="text1"/>
                <w:sz w:val="19"/>
                <w:highlight w:val="none"/>
                <w14:textFill>
                  <w14:solidFill>
                    <w14:schemeClr w14:val="tx1"/>
                  </w14:solidFill>
                </w14:textFill>
              </w:rPr>
            </w:pPr>
          </w:p>
          <w:p>
            <w:pPr>
              <w:pStyle w:val="24"/>
              <w:numPr>
                <w:ilvl w:val="0"/>
                <w:numId w:val="19"/>
              </w:numPr>
              <w:tabs>
                <w:tab w:val="left" w:pos="467"/>
                <w:tab w:val="left" w:pos="468"/>
              </w:tabs>
              <w:spacing w:before="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未特指</w:t>
            </w:r>
          </w:p>
          <w:p>
            <w:pPr>
              <w:pStyle w:val="24"/>
              <w:numPr>
                <w:ilvl w:val="0"/>
                <w:numId w:val="19"/>
              </w:numPr>
              <w:tabs>
                <w:tab w:val="left" w:pos="527"/>
                <w:tab w:val="left" w:pos="528"/>
              </w:tabs>
              <w:spacing w:before="9"/>
              <w:ind w:left="527" w:hanging="42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不适用</w:t>
            </w:r>
          </w:p>
        </w:tc>
        <w:tc>
          <w:tcPr>
            <w:tcW w:w="2533" w:type="dxa"/>
            <w:vAlign w:val="top"/>
          </w:tcPr>
          <w:p>
            <w:pPr>
              <w:pStyle w:val="24"/>
              <w:numPr>
                <w:ilvl w:val="0"/>
                <w:numId w:val="11"/>
              </w:numPr>
              <w:tabs>
                <w:tab w:val="left" w:pos="527"/>
                <w:tab w:val="left" w:pos="528"/>
              </w:tabs>
              <w:spacing w:before="9"/>
              <w:ind w:left="527" w:hanging="42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结构无变化</w:t>
            </w:r>
          </w:p>
          <w:p>
            <w:pPr>
              <w:pStyle w:val="24"/>
              <w:numPr>
                <w:ilvl w:val="0"/>
                <w:numId w:val="11"/>
              </w:numPr>
              <w:tabs>
                <w:tab w:val="left" w:pos="527"/>
                <w:tab w:val="left" w:pos="528"/>
              </w:tabs>
              <w:spacing w:before="9"/>
              <w:ind w:left="527" w:hanging="42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完全缺失</w:t>
            </w:r>
          </w:p>
          <w:p>
            <w:pPr>
              <w:pStyle w:val="24"/>
              <w:numPr>
                <w:ilvl w:val="0"/>
                <w:numId w:val="11"/>
              </w:numPr>
              <w:tabs>
                <w:tab w:val="left" w:pos="527"/>
                <w:tab w:val="left" w:pos="528"/>
              </w:tabs>
              <w:spacing w:before="10"/>
              <w:ind w:left="527" w:hanging="42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部分缺失</w:t>
            </w:r>
          </w:p>
          <w:p>
            <w:pPr>
              <w:pStyle w:val="24"/>
              <w:numPr>
                <w:ilvl w:val="0"/>
                <w:numId w:val="11"/>
              </w:numPr>
              <w:tabs>
                <w:tab w:val="left" w:pos="527"/>
                <w:tab w:val="left" w:pos="528"/>
              </w:tabs>
              <w:spacing w:before="9"/>
              <w:ind w:left="527" w:hanging="42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附加部分</w:t>
            </w:r>
          </w:p>
          <w:p>
            <w:pPr>
              <w:pStyle w:val="24"/>
              <w:numPr>
                <w:ilvl w:val="0"/>
                <w:numId w:val="11"/>
              </w:numPr>
              <w:tabs>
                <w:tab w:val="left" w:pos="527"/>
                <w:tab w:val="left" w:pos="528"/>
              </w:tabs>
              <w:spacing w:before="10"/>
              <w:ind w:left="527" w:hanging="42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异常维度（下垂、畸形）</w:t>
            </w:r>
          </w:p>
          <w:p>
            <w:pPr>
              <w:pStyle w:val="24"/>
              <w:numPr>
                <w:ilvl w:val="0"/>
                <w:numId w:val="11"/>
              </w:numPr>
              <w:tabs>
                <w:tab w:val="left" w:pos="527"/>
                <w:tab w:val="left" w:pos="528"/>
              </w:tabs>
              <w:spacing w:before="9" w:line="249" w:lineRule="auto"/>
              <w:ind w:left="107" w:right="6" w:firstLine="0"/>
              <w:rPr>
                <w:color w:val="000000" w:themeColor="text1"/>
                <w:sz w:val="18"/>
                <w:highlight w:val="none"/>
                <w14:textFill>
                  <w14:solidFill>
                    <w14:schemeClr w14:val="tx1"/>
                  </w14:solidFill>
                </w14:textFill>
              </w:rPr>
            </w:pPr>
            <w:r>
              <w:rPr>
                <w:color w:val="000000" w:themeColor="text1"/>
                <w:spacing w:val="-29"/>
                <w:sz w:val="18"/>
                <w:highlight w:val="none"/>
                <w14:textFill>
                  <w14:solidFill>
                    <w14:schemeClr w14:val="tx1"/>
                  </w14:solidFill>
                </w14:textFill>
              </w:rPr>
              <w:t>不连贯</w:t>
            </w:r>
            <w:r>
              <w:rPr>
                <w:color w:val="000000" w:themeColor="text1"/>
                <w:sz w:val="18"/>
                <w:highlight w:val="none"/>
                <w14:textFill>
                  <w14:solidFill>
                    <w14:schemeClr w14:val="tx1"/>
                  </w14:solidFill>
                </w14:textFill>
              </w:rPr>
              <w:t>（</w:t>
            </w:r>
            <w:r>
              <w:rPr>
                <w:color w:val="000000" w:themeColor="text1"/>
                <w:spacing w:val="-14"/>
                <w:sz w:val="18"/>
                <w:highlight w:val="none"/>
                <w14:textFill>
                  <w14:solidFill>
                    <w14:schemeClr w14:val="tx1"/>
                  </w14:solidFill>
                </w14:textFill>
              </w:rPr>
              <w:t>闭合不全、闭锁、</w:t>
            </w:r>
            <w:r>
              <w:rPr>
                <w:color w:val="000000" w:themeColor="text1"/>
                <w:sz w:val="18"/>
                <w:highlight w:val="none"/>
                <w14:textFill>
                  <w14:solidFill>
                    <w14:schemeClr w14:val="tx1"/>
                  </w14:solidFill>
                </w14:textFill>
              </w:rPr>
              <w:t>穿孔）</w:t>
            </w:r>
          </w:p>
          <w:p>
            <w:pPr>
              <w:pStyle w:val="24"/>
              <w:numPr>
                <w:ilvl w:val="0"/>
                <w:numId w:val="11"/>
              </w:numPr>
              <w:tabs>
                <w:tab w:val="left" w:pos="527"/>
                <w:tab w:val="left" w:pos="528"/>
              </w:tabs>
              <w:spacing w:before="0"/>
              <w:ind w:left="527" w:hanging="42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差异位置（外翻）</w:t>
            </w:r>
          </w:p>
          <w:p>
            <w:pPr>
              <w:pStyle w:val="24"/>
              <w:numPr>
                <w:ilvl w:val="0"/>
                <w:numId w:val="11"/>
              </w:numPr>
              <w:tabs>
                <w:tab w:val="left" w:pos="527"/>
                <w:tab w:val="left" w:pos="528"/>
              </w:tabs>
              <w:spacing w:before="10"/>
              <w:ind w:left="527" w:hanging="42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结构定性改变（麻痹）</w:t>
            </w:r>
          </w:p>
          <w:p>
            <w:pPr>
              <w:pStyle w:val="24"/>
              <w:numPr>
                <w:ilvl w:val="0"/>
                <w:numId w:val="11"/>
              </w:numPr>
              <w:tabs>
                <w:tab w:val="left" w:pos="438"/>
                <w:tab w:val="left" w:pos="439"/>
              </w:tabs>
              <w:spacing w:before="9"/>
              <w:ind w:left="438" w:hanging="33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未特指</w:t>
            </w:r>
          </w:p>
          <w:p>
            <w:pPr>
              <w:pStyle w:val="24"/>
              <w:numPr>
                <w:ilvl w:val="0"/>
                <w:numId w:val="11"/>
              </w:numPr>
              <w:tabs>
                <w:tab w:val="left" w:pos="438"/>
                <w:tab w:val="left" w:pos="439"/>
              </w:tabs>
              <w:spacing w:before="10"/>
              <w:ind w:left="438" w:hanging="33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不适用</w:t>
            </w:r>
          </w:p>
        </w:tc>
        <w:tc>
          <w:tcPr>
            <w:tcW w:w="1921" w:type="dxa"/>
            <w:vAlign w:val="top"/>
          </w:tcPr>
          <w:p>
            <w:pPr>
              <w:pStyle w:val="24"/>
              <w:numPr>
                <w:ilvl w:val="0"/>
                <w:numId w:val="20"/>
              </w:numPr>
              <w:tabs>
                <w:tab w:val="left" w:pos="529"/>
                <w:tab w:val="left" w:pos="530"/>
              </w:tabs>
              <w:spacing w:before="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不止一个区域</w:t>
            </w:r>
          </w:p>
          <w:p>
            <w:pPr>
              <w:pStyle w:val="24"/>
              <w:numPr>
                <w:ilvl w:val="0"/>
                <w:numId w:val="20"/>
              </w:numPr>
              <w:tabs>
                <w:tab w:val="left" w:pos="529"/>
                <w:tab w:val="left" w:pos="530"/>
              </w:tabs>
              <w:spacing w:before="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右侧</w:t>
            </w:r>
          </w:p>
          <w:p>
            <w:pPr>
              <w:pStyle w:val="24"/>
              <w:numPr>
                <w:ilvl w:val="0"/>
                <w:numId w:val="20"/>
              </w:numPr>
              <w:tabs>
                <w:tab w:val="left" w:pos="529"/>
                <w:tab w:val="left" w:pos="530"/>
              </w:tabs>
              <w:spacing w:before="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左侧</w:t>
            </w:r>
          </w:p>
          <w:p>
            <w:pPr>
              <w:pStyle w:val="24"/>
              <w:numPr>
                <w:ilvl w:val="0"/>
                <w:numId w:val="20"/>
              </w:numPr>
              <w:tabs>
                <w:tab w:val="left" w:pos="529"/>
                <w:tab w:val="left" w:pos="530"/>
              </w:tabs>
              <w:spacing w:before="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双侧</w:t>
            </w:r>
          </w:p>
          <w:p>
            <w:pPr>
              <w:pStyle w:val="24"/>
              <w:numPr>
                <w:ilvl w:val="0"/>
                <w:numId w:val="20"/>
              </w:numPr>
              <w:tabs>
                <w:tab w:val="left" w:pos="529"/>
                <w:tab w:val="left" w:pos="530"/>
              </w:tabs>
              <w:spacing w:before="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前端</w:t>
            </w:r>
          </w:p>
          <w:p>
            <w:pPr>
              <w:pStyle w:val="24"/>
              <w:numPr>
                <w:ilvl w:val="0"/>
                <w:numId w:val="20"/>
              </w:numPr>
              <w:tabs>
                <w:tab w:val="left" w:pos="529"/>
                <w:tab w:val="left" w:pos="530"/>
              </w:tabs>
              <w:spacing w:before="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后端</w:t>
            </w:r>
          </w:p>
          <w:p>
            <w:pPr>
              <w:pStyle w:val="24"/>
              <w:numPr>
                <w:ilvl w:val="0"/>
                <w:numId w:val="20"/>
              </w:numPr>
              <w:tabs>
                <w:tab w:val="left" w:pos="529"/>
                <w:tab w:val="left" w:pos="530"/>
              </w:tabs>
              <w:spacing w:before="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近端</w:t>
            </w:r>
          </w:p>
          <w:p>
            <w:pPr>
              <w:pStyle w:val="24"/>
              <w:numPr>
                <w:ilvl w:val="0"/>
                <w:numId w:val="20"/>
              </w:numPr>
              <w:tabs>
                <w:tab w:val="left" w:pos="529"/>
                <w:tab w:val="left" w:pos="530"/>
              </w:tabs>
              <w:spacing w:before="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远端</w:t>
            </w:r>
          </w:p>
          <w:p>
            <w:pPr>
              <w:pStyle w:val="24"/>
              <w:numPr>
                <w:ilvl w:val="0"/>
                <w:numId w:val="20"/>
              </w:numPr>
              <w:tabs>
                <w:tab w:val="left" w:pos="543"/>
                <w:tab w:val="left" w:pos="544"/>
              </w:tabs>
              <w:spacing w:before="9"/>
              <w:ind w:left="543" w:hanging="434"/>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未特指</w:t>
            </w:r>
          </w:p>
          <w:p>
            <w:pPr>
              <w:pStyle w:val="24"/>
              <w:numPr>
                <w:ilvl w:val="0"/>
                <w:numId w:val="20"/>
              </w:numPr>
              <w:tabs>
                <w:tab w:val="left" w:pos="529"/>
                <w:tab w:val="left" w:pos="530"/>
              </w:tabs>
              <w:spacing w:before="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不适用</w:t>
            </w:r>
          </w:p>
        </w:tc>
        <w:tc>
          <w:tcPr>
            <w:tcW w:w="2445" w:type="dxa"/>
            <w:vAlign w:val="top"/>
          </w:tcPr>
          <w:p>
            <w:pPr>
              <w:pStyle w:val="24"/>
              <w:spacing w:before="9" w:line="249" w:lineRule="auto"/>
              <w:ind w:left="300" w:right="1426" w:hanging="195"/>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损伤的程度空位</w:t>
            </w:r>
          </w:p>
          <w:p>
            <w:pPr>
              <w:pStyle w:val="24"/>
              <w:spacing w:before="12" w:line="278" w:lineRule="auto"/>
              <w:ind w:left="300" w:right="1962"/>
              <w:jc w:val="both"/>
              <w:rPr>
                <w:rFonts w:ascii="Times New Roman"/>
                <w:color w:val="000000" w:themeColor="text1"/>
                <w:sz w:val="18"/>
                <w:highlight w:val="none"/>
                <w14:textFill>
                  <w14:solidFill>
                    <w14:schemeClr w14:val="tx1"/>
                  </w14:solidFill>
                </w14:textFill>
              </w:rPr>
            </w:pPr>
            <w:r>
              <w:rPr>
                <w:rFonts w:ascii="Times New Roman"/>
                <w:color w:val="000000" w:themeColor="text1"/>
                <w:sz w:val="18"/>
                <w:highlight w:val="none"/>
                <w14:textFill>
                  <w14:solidFill>
                    <w14:schemeClr w14:val="tx1"/>
                  </w14:solidFill>
                </w14:textFill>
              </w:rPr>
              <w:t>Z Y X W</w:t>
            </w:r>
          </w:p>
          <w:p>
            <w:pPr>
              <w:pStyle w:val="24"/>
              <w:spacing w:before="0" w:line="207" w:lineRule="exact"/>
              <w:ind w:left="300"/>
              <w:rPr>
                <w:rFonts w:ascii="Times New Roman" w:hAnsi="Times New Roman"/>
                <w:color w:val="000000" w:themeColor="text1"/>
                <w:sz w:val="18"/>
                <w:highlight w:val="none"/>
                <w14:textFill>
                  <w14:solidFill>
                    <w14:schemeClr w14:val="tx1"/>
                  </w14:solidFill>
                </w14:textFill>
              </w:rPr>
            </w:pPr>
            <w:r>
              <w:rPr>
                <w:rFonts w:ascii="Times New Roman" w:hAnsi="Times New Roman"/>
                <w:color w:val="000000" w:themeColor="text1"/>
                <w:sz w:val="18"/>
                <w:highlight w:val="none"/>
                <w14:textFill>
                  <w14:solidFill>
                    <w14:schemeClr w14:val="tx1"/>
                  </w14:solidFill>
                </w14:textFill>
              </w:rPr>
              <w:t>……</w:t>
            </w:r>
          </w:p>
          <w:p>
            <w:pPr>
              <w:pStyle w:val="24"/>
              <w:spacing w:before="21" w:line="249" w:lineRule="auto"/>
              <w:ind w:left="106" w:right="166"/>
              <w:jc w:val="both"/>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注：损伤的程度针对同一损伤的范围，按照英文字母倒序，程度逐渐加重。</w:t>
            </w:r>
          </w:p>
          <w:p>
            <w:pPr>
              <w:pStyle w:val="24"/>
              <w:ind w:left="0"/>
              <w:rPr>
                <w:rFonts w:ascii="黑体"/>
                <w:color w:val="000000" w:themeColor="text1"/>
                <w:sz w:val="18"/>
                <w:highlight w:val="none"/>
                <w14:textFill>
                  <w14:solidFill>
                    <w14:schemeClr w14:val="tx1"/>
                  </w14:solidFill>
                </w14:textFill>
              </w:rPr>
            </w:pPr>
          </w:p>
          <w:p>
            <w:pPr>
              <w:pStyle w:val="24"/>
              <w:spacing w:before="0"/>
              <w:ind w:left="10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干预手段</w:t>
            </w:r>
          </w:p>
          <w:p>
            <w:pPr>
              <w:pStyle w:val="24"/>
              <w:spacing w:before="9"/>
              <w:ind w:left="286"/>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S  </w:t>
            </w:r>
            <w:r>
              <w:rPr>
                <w:color w:val="000000" w:themeColor="text1"/>
                <w:sz w:val="18"/>
                <w:highlight w:val="none"/>
                <w14:textFill>
                  <w14:solidFill>
                    <w14:schemeClr w14:val="tx1"/>
                  </w14:solidFill>
                </w14:textFill>
              </w:rPr>
              <w:t>手术</w:t>
            </w:r>
          </w:p>
          <w:p>
            <w:pPr>
              <w:pStyle w:val="24"/>
              <w:spacing w:before="6"/>
              <w:ind w:left="0"/>
              <w:rPr>
                <w:rFonts w:ascii="黑体"/>
                <w:color w:val="000000" w:themeColor="text1"/>
                <w:sz w:val="19"/>
                <w:highlight w:val="none"/>
                <w14:textFill>
                  <w14:solidFill>
                    <w14:schemeClr w14:val="tx1"/>
                  </w14:solidFill>
                </w14:textFill>
              </w:rPr>
            </w:pPr>
          </w:p>
          <w:p>
            <w:pPr>
              <w:pStyle w:val="24"/>
              <w:spacing w:before="0"/>
              <w:ind w:left="106"/>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其他</w:t>
            </w:r>
          </w:p>
          <w:p>
            <w:pPr>
              <w:pStyle w:val="24"/>
              <w:spacing w:before="0" w:line="240" w:lineRule="atLeast"/>
              <w:ind w:left="106" w:right="102" w:firstLine="180"/>
              <w:rPr>
                <w:color w:val="000000" w:themeColor="text1"/>
                <w:sz w:val="18"/>
                <w:highlight w:val="none"/>
                <w14:textFill>
                  <w14:solidFill>
                    <w14:schemeClr w14:val="tx1"/>
                  </w14:solidFill>
                </w14:textFill>
              </w:rPr>
            </w:pPr>
            <w:r>
              <w:rPr>
                <w:rFonts w:ascii="Times New Roman" w:eastAsia="Times New Roman"/>
                <w:color w:val="000000" w:themeColor="text1"/>
                <w:sz w:val="18"/>
                <w:highlight w:val="none"/>
                <w14:textFill>
                  <w14:solidFill>
                    <w14:schemeClr w14:val="tx1"/>
                  </w14:solidFill>
                </w14:textFill>
              </w:rPr>
              <w:t xml:space="preserve">6 </w:t>
            </w:r>
            <w:r>
              <w:rPr>
                <w:color w:val="000000" w:themeColor="text1"/>
                <w:sz w:val="18"/>
                <w:highlight w:val="none"/>
                <w14:textFill>
                  <w14:solidFill>
                    <w14:schemeClr w14:val="tx1"/>
                  </w14:solidFill>
                </w14:textFill>
              </w:rPr>
              <w:t>指身体结构的近端，这里是指关节以上</w:t>
            </w:r>
          </w:p>
        </w:tc>
      </w:tr>
    </w:tbl>
    <w:p>
      <w:pPr>
        <w:pStyle w:val="8"/>
        <w:spacing w:before="2"/>
        <w:rPr>
          <w:rFonts w:ascii="黑体"/>
          <w:color w:val="000000" w:themeColor="text1"/>
          <w:sz w:val="15"/>
          <w:highlight w:val="none"/>
          <w14:textFill>
            <w14:solidFill>
              <w14:schemeClr w14:val="tx1"/>
            </w14:solidFill>
          </w14:textFill>
        </w:rPr>
      </w:pPr>
    </w:p>
    <w:p>
      <w:pPr>
        <w:spacing w:line="324" w:lineRule="auto"/>
        <w:ind w:left="496" w:right="607"/>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表注：使用四级限定值，如果同时存在损伤的程度和干预手段，先编码损伤的程度，再编码干预的手段；如果同时存在损伤的程度和其他，先编码损伤的程度，再编码其他。</w:t>
      </w:r>
    </w:p>
    <w:p>
      <w:pPr>
        <w:pStyle w:val="8"/>
        <w:rPr>
          <w:color w:val="000000" w:themeColor="text1"/>
          <w:sz w:val="18"/>
          <w:highlight w:val="none"/>
          <w14:textFill>
            <w14:solidFill>
              <w14:schemeClr w14:val="tx1"/>
            </w14:solidFill>
          </w14:textFill>
        </w:rPr>
      </w:pPr>
    </w:p>
    <w:p>
      <w:pPr>
        <w:pStyle w:val="8"/>
        <w:rPr>
          <w:color w:val="000000" w:themeColor="text1"/>
          <w:sz w:val="18"/>
          <w:highlight w:val="none"/>
          <w14:textFill>
            <w14:solidFill>
              <w14:schemeClr w14:val="tx1"/>
            </w14:solidFill>
          </w14:textFill>
        </w:rPr>
      </w:pPr>
    </w:p>
    <w:p>
      <w:pPr>
        <w:pStyle w:val="20"/>
        <w:numPr>
          <w:ilvl w:val="3"/>
          <w:numId w:val="11"/>
        </w:numPr>
        <w:tabs>
          <w:tab w:val="left" w:pos="1442"/>
        </w:tabs>
        <w:autoSpaceDE w:val="0"/>
        <w:autoSpaceDN w:val="0"/>
        <w:spacing w:before="148" w:after="0"/>
        <w:ind w:left="1442" w:hanging="946"/>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身体结构四级限定值的使用</w:t>
      </w:r>
    </w:p>
    <w:p>
      <w:pPr>
        <w:pStyle w:val="8"/>
        <w:spacing w:before="7"/>
        <w:rPr>
          <w:rFonts w:ascii="黑体"/>
          <w:color w:val="000000" w:themeColor="text1"/>
          <w:sz w:val="15"/>
          <w:highlight w:val="none"/>
          <w14:textFill>
            <w14:solidFill>
              <w14:schemeClr w14:val="tx1"/>
            </w14:solidFill>
          </w14:textFill>
        </w:rPr>
      </w:pPr>
    </w:p>
    <w:p>
      <w:pPr>
        <w:pStyle w:val="8"/>
        <w:spacing w:before="1" w:line="278" w:lineRule="auto"/>
        <w:ind w:left="916" w:right="3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四级限定值是在</w:t>
      </w:r>
      <w:r>
        <w:rPr>
          <w:rFonts w:ascii="Times New Roman" w:eastAsia="Times New Roman"/>
          <w:color w:val="000000" w:themeColor="text1"/>
          <w:highlight w:val="none"/>
          <w14:textFill>
            <w14:solidFill>
              <w14:schemeClr w14:val="tx1"/>
            </w14:solidFill>
          </w14:textFill>
        </w:rPr>
        <w:t xml:space="preserve">ICF </w:t>
      </w:r>
      <w:r>
        <w:rPr>
          <w:color w:val="000000" w:themeColor="text1"/>
          <w:highlight w:val="none"/>
          <w14:textFill>
            <w14:solidFill>
              <w14:schemeClr w14:val="tx1"/>
            </w14:solidFill>
          </w14:textFill>
        </w:rPr>
        <w:t xml:space="preserve">身体结构前三级限定值的基础上，人身保险伤残评定标准自定义扩展的内容。四级限定值在一级限定值的基础上细化说明损伤的范围。例如 </w:t>
      </w:r>
      <w:r>
        <w:rPr>
          <w:rFonts w:ascii="Times New Roman" w:eastAsia="Times New Roman"/>
          <w:color w:val="000000" w:themeColor="text1"/>
          <w:highlight w:val="none"/>
          <w14:textFill>
            <w14:solidFill>
              <w14:schemeClr w14:val="tx1"/>
            </w14:solidFill>
          </w14:textFill>
        </w:rPr>
        <w:t xml:space="preserve">s7302.323 </w:t>
      </w:r>
      <w:r>
        <w:rPr>
          <w:color w:val="000000" w:themeColor="text1"/>
          <w:highlight w:val="none"/>
          <w14:textFill>
            <w14:solidFill>
              <w14:schemeClr w14:val="tx1"/>
            </w14:solidFill>
          </w14:textFill>
        </w:rPr>
        <w:t>表示双手缺失（或丧失功</w:t>
      </w:r>
    </w:p>
    <w:p>
      <w:pPr>
        <w:pStyle w:val="8"/>
        <w:spacing w:line="278" w:lineRule="auto"/>
        <w:ind w:left="496" w:right="4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能）大于等于 </w:t>
      </w:r>
      <w:r>
        <w:rPr>
          <w:rFonts w:ascii="Times New Roman" w:hAnsi="Times New Roman" w:eastAsia="Times New Roman"/>
          <w:color w:val="000000" w:themeColor="text1"/>
          <w:highlight w:val="none"/>
          <w14:textFill>
            <w14:solidFill>
              <w14:schemeClr w14:val="tx1"/>
            </w14:solidFill>
          </w14:textFill>
        </w:rPr>
        <w:t>50%-90%</w:t>
      </w:r>
      <w:r>
        <w:rPr>
          <w:color w:val="000000" w:themeColor="text1"/>
          <w:highlight w:val="none"/>
          <w14:textFill>
            <w14:solidFill>
              <w14:schemeClr w14:val="tx1"/>
            </w14:solidFill>
          </w14:textFill>
        </w:rPr>
        <w:t>，在前三级限定值相同的情况下，为了细化说明损伤的程度，在四级限定值规定了空格、</w:t>
      </w:r>
      <w:r>
        <w:rPr>
          <w:rFonts w:ascii="Times New Roman" w:hAnsi="Times New Roman" w:eastAsia="Times New Roman"/>
          <w:color w:val="000000" w:themeColor="text1"/>
          <w:highlight w:val="none"/>
          <w14:textFill>
            <w14:solidFill>
              <w14:schemeClr w14:val="tx1"/>
            </w14:solidFill>
          </w14:textFill>
        </w:rPr>
        <w:t>Z</w:t>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Y</w:t>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X…</w:t>
      </w:r>
      <w:r>
        <w:rPr>
          <w:color w:val="000000" w:themeColor="text1"/>
          <w:highlight w:val="none"/>
          <w14:textFill>
            <w14:solidFill>
              <w14:schemeClr w14:val="tx1"/>
            </w14:solidFill>
          </w14:textFill>
        </w:rPr>
        <w:t>的损伤程度越来越高，直到一级限定值更高等级</w:t>
      </w:r>
      <w:r>
        <w:rPr>
          <w:rFonts w:hint="eastAsia" w:ascii="Times New Roman" w:hAnsi="Times New Roman"/>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 例如：</w:t>
      </w:r>
    </w:p>
    <w:p>
      <w:pPr>
        <w:tabs>
          <w:tab w:val="left" w:pos="2702"/>
        </w:tabs>
        <w:spacing w:line="269" w:lineRule="exact"/>
        <w:ind w:left="496"/>
        <w:rPr>
          <w:rFonts w:eastAsia="Times New Roman"/>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s750.163</w:t>
      </w:r>
      <w:r>
        <w:rPr>
          <w:rFonts w:eastAsia="Times New Roman"/>
          <w:color w:val="000000" w:themeColor="text1"/>
          <w:sz w:val="18"/>
          <w:highlight w:val="none"/>
          <w14:textFill>
            <w14:solidFill>
              <w14:schemeClr w14:val="tx1"/>
            </w14:solidFill>
          </w14:textFill>
        </w:rPr>
        <w:tab/>
      </w:r>
      <w:r>
        <w:rPr>
          <w:color w:val="000000" w:themeColor="text1"/>
          <w:spacing w:val="-7"/>
          <w:highlight w:val="none"/>
          <w14:textFill>
            <w14:solidFill>
              <w14:schemeClr w14:val="tx1"/>
            </w14:solidFill>
          </w14:textFill>
        </w:rPr>
        <w:t xml:space="preserve">双下肢长度相差大于等于 </w:t>
      </w:r>
      <w:r>
        <w:rPr>
          <w:rFonts w:eastAsia="Times New Roman"/>
          <w:color w:val="000000" w:themeColor="text1"/>
          <w:highlight w:val="none"/>
          <w14:textFill>
            <w14:solidFill>
              <w14:schemeClr w14:val="tx1"/>
            </w14:solidFill>
          </w14:textFill>
        </w:rPr>
        <w:t>2cm</w:t>
      </w:r>
    </w:p>
    <w:p>
      <w:pPr>
        <w:tabs>
          <w:tab w:val="left" w:pos="2702"/>
        </w:tabs>
        <w:spacing w:before="42"/>
        <w:ind w:left="496"/>
        <w:rPr>
          <w:rFonts w:eastAsia="Times New Roman"/>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s750.263</w:t>
      </w:r>
      <w:r>
        <w:rPr>
          <w:rFonts w:eastAsia="Times New Roman"/>
          <w:color w:val="000000" w:themeColor="text1"/>
          <w:sz w:val="18"/>
          <w:highlight w:val="none"/>
          <w14:textFill>
            <w14:solidFill>
              <w14:schemeClr w14:val="tx1"/>
            </w14:solidFill>
          </w14:textFill>
        </w:rPr>
        <w:tab/>
      </w:r>
      <w:r>
        <w:rPr>
          <w:color w:val="000000" w:themeColor="text1"/>
          <w:spacing w:val="-7"/>
          <w:highlight w:val="none"/>
          <w14:textFill>
            <w14:solidFill>
              <w14:schemeClr w14:val="tx1"/>
            </w14:solidFill>
          </w14:textFill>
        </w:rPr>
        <w:t xml:space="preserve">双下肢长度相差大于等于 </w:t>
      </w:r>
      <w:r>
        <w:rPr>
          <w:rFonts w:eastAsia="Times New Roman"/>
          <w:color w:val="000000" w:themeColor="text1"/>
          <w:highlight w:val="none"/>
          <w14:textFill>
            <w14:solidFill>
              <w14:schemeClr w14:val="tx1"/>
            </w14:solidFill>
          </w14:textFill>
        </w:rPr>
        <w:t>4cm</w:t>
      </w:r>
    </w:p>
    <w:p>
      <w:pPr>
        <w:tabs>
          <w:tab w:val="left" w:pos="2702"/>
        </w:tabs>
        <w:spacing w:before="43"/>
        <w:ind w:left="496"/>
        <w:rPr>
          <w:rFonts w:eastAsia="Times New Roman"/>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s750.263</w:t>
      </w:r>
      <w:r>
        <w:rPr>
          <w:rFonts w:eastAsia="Times New Roman"/>
          <w:color w:val="000000" w:themeColor="text1"/>
          <w:sz w:val="18"/>
          <w:highlight w:val="none"/>
          <w:u w:val="single"/>
          <w14:textFill>
            <w14:solidFill>
              <w14:schemeClr w14:val="tx1"/>
            </w14:solidFill>
          </w14:textFill>
        </w:rPr>
        <w:t>Z</w:t>
      </w:r>
      <w:r>
        <w:rPr>
          <w:rFonts w:eastAsia="Times New Roman"/>
          <w:color w:val="000000" w:themeColor="text1"/>
          <w:sz w:val="18"/>
          <w:highlight w:val="none"/>
          <w14:textFill>
            <w14:solidFill>
              <w14:schemeClr w14:val="tx1"/>
            </w14:solidFill>
          </w14:textFill>
        </w:rPr>
        <w:tab/>
      </w:r>
      <w:r>
        <w:rPr>
          <w:color w:val="000000" w:themeColor="text1"/>
          <w:spacing w:val="-7"/>
          <w:highlight w:val="none"/>
          <w14:textFill>
            <w14:solidFill>
              <w14:schemeClr w14:val="tx1"/>
            </w14:solidFill>
          </w14:textFill>
        </w:rPr>
        <w:t xml:space="preserve">双下肢长度相差大于等于 </w:t>
      </w:r>
      <w:r>
        <w:rPr>
          <w:rFonts w:eastAsia="Times New Roman"/>
          <w:color w:val="000000" w:themeColor="text1"/>
          <w:highlight w:val="none"/>
          <w14:textFill>
            <w14:solidFill>
              <w14:schemeClr w14:val="tx1"/>
            </w14:solidFill>
          </w14:textFill>
        </w:rPr>
        <w:t>6cm</w:t>
      </w:r>
    </w:p>
    <w:p>
      <w:pPr>
        <w:tabs>
          <w:tab w:val="left" w:pos="2702"/>
        </w:tabs>
        <w:spacing w:before="43"/>
        <w:ind w:left="496"/>
        <w:rPr>
          <w:rFonts w:eastAsia="Times New Roman"/>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s750.363</w:t>
      </w:r>
      <w:r>
        <w:rPr>
          <w:rFonts w:eastAsia="Times New Roman"/>
          <w:color w:val="000000" w:themeColor="text1"/>
          <w:sz w:val="18"/>
          <w:highlight w:val="none"/>
          <w14:textFill>
            <w14:solidFill>
              <w14:schemeClr w14:val="tx1"/>
            </w14:solidFill>
          </w14:textFill>
        </w:rPr>
        <w:tab/>
      </w:r>
      <w:r>
        <w:rPr>
          <w:color w:val="000000" w:themeColor="text1"/>
          <w:spacing w:val="-6"/>
          <w:highlight w:val="none"/>
          <w14:textFill>
            <w14:solidFill>
              <w14:schemeClr w14:val="tx1"/>
            </w14:solidFill>
          </w14:textFill>
        </w:rPr>
        <w:t xml:space="preserve">双下肢长度相差大于等于 </w:t>
      </w:r>
      <w:r>
        <w:rPr>
          <w:rFonts w:eastAsia="Times New Roman"/>
          <w:color w:val="000000" w:themeColor="text1"/>
          <w:highlight w:val="none"/>
          <w14:textFill>
            <w14:solidFill>
              <w14:schemeClr w14:val="tx1"/>
            </w14:solidFill>
          </w14:textFill>
        </w:rPr>
        <w:t>8cm</w:t>
      </w:r>
    </w:p>
    <w:p>
      <w:pPr>
        <w:pStyle w:val="8"/>
        <w:spacing w:before="43"/>
        <w:ind w:left="496"/>
        <w:rPr>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又例如</w:t>
      </w:r>
      <w:r>
        <w:rPr>
          <w:color w:val="000000" w:themeColor="text1"/>
          <w:highlight w:val="none"/>
          <w:lang w:val="en-US"/>
          <w14:textFill>
            <w14:solidFill>
              <w14:schemeClr w14:val="tx1"/>
            </w14:solidFill>
          </w14:textFill>
        </w:rPr>
        <w:t>：</w:t>
      </w:r>
    </w:p>
    <w:p>
      <w:pPr>
        <w:tabs>
          <w:tab w:val="left" w:pos="2577"/>
        </w:tabs>
        <w:spacing w:before="43"/>
        <w:ind w:left="496"/>
        <w:rPr>
          <w:rFonts w:eastAsia="Times New Roman"/>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s7302.323</w:t>
      </w:r>
      <w:r>
        <w:rPr>
          <w:rFonts w:eastAsia="Times New Roman"/>
          <w:color w:val="000000" w:themeColor="text1"/>
          <w:sz w:val="18"/>
          <w:highlight w:val="none"/>
          <w14:textFill>
            <w14:solidFill>
              <w14:schemeClr w14:val="tx1"/>
            </w14:solidFill>
          </w14:textFill>
        </w:rPr>
        <w:tab/>
      </w:r>
      <w:r>
        <w:rPr>
          <w:color w:val="000000" w:themeColor="text1"/>
          <w:spacing w:val="-3"/>
          <w:highlight w:val="none"/>
          <w14:textFill>
            <w14:solidFill>
              <w14:schemeClr w14:val="tx1"/>
            </w14:solidFill>
          </w14:textFill>
        </w:rPr>
        <w:t>表示双手缺失</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或丧失功能</w:t>
      </w:r>
      <w:r>
        <w:rPr>
          <w:color w:val="000000" w:themeColor="text1"/>
          <w:highlight w:val="none"/>
          <w14:textFill>
            <w14:solidFill>
              <w14:schemeClr w14:val="tx1"/>
            </w14:solidFill>
          </w14:textFill>
        </w:rPr>
        <w:t>）</w:t>
      </w:r>
      <w:r>
        <w:rPr>
          <w:color w:val="000000" w:themeColor="text1"/>
          <w:spacing w:val="-9"/>
          <w:highlight w:val="none"/>
          <w14:textFill>
            <w14:solidFill>
              <w14:schemeClr w14:val="tx1"/>
            </w14:solidFill>
          </w14:textFill>
        </w:rPr>
        <w:t xml:space="preserve">大于等于 </w:t>
      </w:r>
      <w:r>
        <w:rPr>
          <w:rFonts w:eastAsia="Times New Roman"/>
          <w:color w:val="000000" w:themeColor="text1"/>
          <w:highlight w:val="none"/>
          <w14:textFill>
            <w14:solidFill>
              <w14:schemeClr w14:val="tx1"/>
            </w14:solidFill>
          </w14:textFill>
        </w:rPr>
        <w:t>50%</w:t>
      </w:r>
    </w:p>
    <w:p>
      <w:pPr>
        <w:tabs>
          <w:tab w:val="left" w:pos="2598"/>
        </w:tabs>
        <w:spacing w:before="43"/>
        <w:ind w:left="496"/>
        <w:rPr>
          <w:rFonts w:eastAsia="Times New Roman"/>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s7302.323</w:t>
      </w:r>
      <w:r>
        <w:rPr>
          <w:rFonts w:eastAsia="Times New Roman"/>
          <w:color w:val="000000" w:themeColor="text1"/>
          <w:sz w:val="18"/>
          <w:highlight w:val="none"/>
          <w:u w:val="single"/>
          <w14:textFill>
            <w14:solidFill>
              <w14:schemeClr w14:val="tx1"/>
            </w14:solidFill>
          </w14:textFill>
        </w:rPr>
        <w:t>Z</w:t>
      </w:r>
      <w:r>
        <w:rPr>
          <w:rFonts w:eastAsia="Times New Roman"/>
          <w:color w:val="000000" w:themeColor="text1"/>
          <w:sz w:val="18"/>
          <w:highlight w:val="none"/>
          <w14:textFill>
            <w14:solidFill>
              <w14:schemeClr w14:val="tx1"/>
            </w14:solidFill>
          </w14:textFill>
        </w:rPr>
        <w:tab/>
      </w:r>
      <w:r>
        <w:rPr>
          <w:color w:val="000000" w:themeColor="text1"/>
          <w:spacing w:val="-3"/>
          <w:highlight w:val="none"/>
          <w14:textFill>
            <w14:solidFill>
              <w14:schemeClr w14:val="tx1"/>
            </w14:solidFill>
          </w14:textFill>
        </w:rPr>
        <w:t>表示双手缺失</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或丧失功能</w:t>
      </w:r>
      <w:r>
        <w:rPr>
          <w:color w:val="000000" w:themeColor="text1"/>
          <w:highlight w:val="none"/>
          <w14:textFill>
            <w14:solidFill>
              <w14:schemeClr w14:val="tx1"/>
            </w14:solidFill>
          </w14:textFill>
        </w:rPr>
        <w:t>）</w:t>
      </w:r>
      <w:r>
        <w:rPr>
          <w:color w:val="000000" w:themeColor="text1"/>
          <w:spacing w:val="-9"/>
          <w:highlight w:val="none"/>
          <w14:textFill>
            <w14:solidFill>
              <w14:schemeClr w14:val="tx1"/>
            </w14:solidFill>
          </w14:textFill>
        </w:rPr>
        <w:t xml:space="preserve">大于等于 </w:t>
      </w:r>
      <w:r>
        <w:rPr>
          <w:rFonts w:eastAsia="Times New Roman"/>
          <w:color w:val="000000" w:themeColor="text1"/>
          <w:highlight w:val="none"/>
          <w14:textFill>
            <w14:solidFill>
              <w14:schemeClr w14:val="tx1"/>
            </w14:solidFill>
          </w14:textFill>
        </w:rPr>
        <w:t>70%</w:t>
      </w:r>
    </w:p>
    <w:p>
      <w:pPr>
        <w:tabs>
          <w:tab w:val="left" w:pos="2603"/>
        </w:tabs>
        <w:spacing w:before="43"/>
        <w:ind w:left="496"/>
        <w:rPr>
          <w:rFonts w:eastAsia="Times New Roman"/>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s7302.323</w:t>
      </w:r>
      <w:r>
        <w:rPr>
          <w:rFonts w:eastAsia="Times New Roman"/>
          <w:color w:val="000000" w:themeColor="text1"/>
          <w:sz w:val="18"/>
          <w:highlight w:val="none"/>
          <w:u w:val="single"/>
          <w14:textFill>
            <w14:solidFill>
              <w14:schemeClr w14:val="tx1"/>
            </w14:solidFill>
          </w14:textFill>
        </w:rPr>
        <w:t>Y</w:t>
      </w:r>
      <w:r>
        <w:rPr>
          <w:rFonts w:eastAsia="Times New Roman"/>
          <w:color w:val="000000" w:themeColor="text1"/>
          <w:sz w:val="18"/>
          <w:highlight w:val="none"/>
          <w14:textFill>
            <w14:solidFill>
              <w14:schemeClr w14:val="tx1"/>
            </w14:solidFill>
          </w14:textFill>
        </w:rPr>
        <w:tab/>
      </w:r>
      <w:r>
        <w:rPr>
          <w:color w:val="000000" w:themeColor="text1"/>
          <w:spacing w:val="-3"/>
          <w:highlight w:val="none"/>
          <w14:textFill>
            <w14:solidFill>
              <w14:schemeClr w14:val="tx1"/>
            </w14:solidFill>
          </w14:textFill>
        </w:rPr>
        <w:t>表示双手缺失</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或丧失功能</w:t>
      </w:r>
      <w:r>
        <w:rPr>
          <w:color w:val="000000" w:themeColor="text1"/>
          <w:highlight w:val="none"/>
          <w14:textFill>
            <w14:solidFill>
              <w14:schemeClr w14:val="tx1"/>
            </w14:solidFill>
          </w14:textFill>
        </w:rPr>
        <w:t>）</w:t>
      </w:r>
      <w:r>
        <w:rPr>
          <w:color w:val="000000" w:themeColor="text1"/>
          <w:spacing w:val="-9"/>
          <w:highlight w:val="none"/>
          <w14:textFill>
            <w14:solidFill>
              <w14:schemeClr w14:val="tx1"/>
            </w14:solidFill>
          </w14:textFill>
        </w:rPr>
        <w:t xml:space="preserve">大于等于 </w:t>
      </w:r>
      <w:r>
        <w:rPr>
          <w:rFonts w:eastAsia="Times New Roman"/>
          <w:color w:val="000000" w:themeColor="text1"/>
          <w:highlight w:val="none"/>
          <w14:textFill>
            <w14:solidFill>
              <w14:schemeClr w14:val="tx1"/>
            </w14:solidFill>
          </w14:textFill>
        </w:rPr>
        <w:t>90%</w:t>
      </w:r>
    </w:p>
    <w:p>
      <w:pPr>
        <w:pStyle w:val="8"/>
        <w:spacing w:before="8"/>
        <w:rPr>
          <w:rFonts w:ascii="Times New Roman"/>
          <w:color w:val="000000" w:themeColor="text1"/>
          <w:sz w:val="24"/>
          <w:highlight w:val="none"/>
          <w:lang w:val="en-US"/>
          <w14:textFill>
            <w14:solidFill>
              <w14:schemeClr w14:val="tx1"/>
            </w14:solidFill>
          </w14:textFill>
        </w:rPr>
      </w:pPr>
    </w:p>
    <w:p>
      <w:pPr>
        <w:pStyle w:val="8"/>
        <w:spacing w:before="71"/>
        <w:ind w:left="9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此外，四级限定值还可以说明其他内容，例如：</w:t>
      </w:r>
    </w:p>
    <w:p>
      <w:pPr>
        <w:tabs>
          <w:tab w:val="left" w:pos="2976"/>
        </w:tabs>
        <w:spacing w:before="43"/>
        <w:ind w:left="923"/>
        <w:rPr>
          <w:b/>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s75021.413</w:t>
      </w:r>
      <w:r>
        <w:rPr>
          <w:rFonts w:eastAsia="Times New Roman"/>
          <w:b/>
          <w:color w:val="000000" w:themeColor="text1"/>
          <w:sz w:val="18"/>
          <w:highlight w:val="none"/>
          <w14:textFill>
            <w14:solidFill>
              <w14:schemeClr w14:val="tx1"/>
            </w14:solidFill>
          </w14:textFill>
        </w:rPr>
        <w:t>6</w:t>
      </w:r>
      <w:r>
        <w:rPr>
          <w:rFonts w:eastAsia="Times New Roman"/>
          <w:b/>
          <w:color w:val="000000" w:themeColor="text1"/>
          <w:sz w:val="18"/>
          <w:highlight w:val="none"/>
          <w14:textFill>
            <w14:solidFill>
              <w14:schemeClr w14:val="tx1"/>
            </w14:solidFill>
          </w14:textFill>
        </w:rPr>
        <w:tab/>
      </w:r>
      <w:r>
        <w:rPr>
          <w:color w:val="000000" w:themeColor="text1"/>
          <w:spacing w:val="-3"/>
          <w:highlight w:val="none"/>
          <w14:textFill>
            <w14:solidFill>
              <w14:schemeClr w14:val="tx1"/>
            </w14:solidFill>
          </w14:textFill>
        </w:rPr>
        <w:t>双足跗跖</w:t>
      </w:r>
      <w:r>
        <w:rPr>
          <w:b/>
          <w:color w:val="000000" w:themeColor="text1"/>
          <w:highlight w:val="none"/>
          <w14:textFill>
            <w14:solidFill>
              <w14:schemeClr w14:val="tx1"/>
            </w14:solidFill>
          </w14:textFill>
        </w:rPr>
        <w:t>关节以上缺失</w:t>
      </w:r>
    </w:p>
    <w:p>
      <w:pPr>
        <w:pStyle w:val="8"/>
        <w:spacing w:before="43"/>
        <w:ind w:left="9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其中四级限定值“</w:t>
      </w:r>
      <w:r>
        <w:rPr>
          <w:rFonts w:ascii="Times New Roman" w:hAns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指身体结构的近端，这里是指关节以上。</w:t>
      </w:r>
    </w:p>
    <w:p>
      <w:pPr>
        <w:pStyle w:val="8"/>
        <w:spacing w:before="9"/>
        <w:rPr>
          <w:color w:val="000000" w:themeColor="text1"/>
          <w:sz w:val="27"/>
          <w:highlight w:val="none"/>
          <w14:textFill>
            <w14:solidFill>
              <w14:schemeClr w14:val="tx1"/>
            </w14:solidFill>
          </w14:textFill>
        </w:rPr>
      </w:pPr>
    </w:p>
    <w:p>
      <w:pPr>
        <w:pStyle w:val="8"/>
        <w:ind w:left="91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再有，四级限定值还可以特指某些干预手段，比如“</w:t>
      </w:r>
      <w:r>
        <w:rPr>
          <w:rFonts w:ascii="Times New Roman" w:hAnsi="Times New Roman" w:eastAsia="Times New Roman"/>
          <w:color w:val="000000" w:themeColor="text1"/>
          <w:highlight w:val="none"/>
          <w14:textFill>
            <w14:solidFill>
              <w14:schemeClr w14:val="tx1"/>
            </w14:solidFill>
          </w14:textFill>
        </w:rPr>
        <w:t>S”</w:t>
      </w:r>
      <w:r>
        <w:rPr>
          <w:color w:val="000000" w:themeColor="text1"/>
          <w:highlight w:val="none"/>
          <w14:textFill>
            <w14:solidFill>
              <w14:schemeClr w14:val="tx1"/>
            </w14:solidFill>
          </w14:textFill>
        </w:rPr>
        <w:t>指</w:t>
      </w:r>
      <w:r>
        <w:rPr>
          <w:rFonts w:ascii="Times New Roman" w:hAns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手术</w:t>
      </w:r>
      <w:r>
        <w:rPr>
          <w:rFonts w:ascii="Times New Roman" w:hAns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，例如：</w:t>
      </w:r>
    </w:p>
    <w:p>
      <w:pPr>
        <w:tabs>
          <w:tab w:val="left" w:pos="3316"/>
        </w:tabs>
        <w:spacing w:before="43"/>
        <w:ind w:left="921"/>
        <w:rPr>
          <w:b/>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s4100.418S,</w:t>
      </w:r>
      <w:r>
        <w:rPr>
          <w:rFonts w:eastAsia="Times New Roman"/>
          <w:color w:val="000000" w:themeColor="text1"/>
          <w:spacing w:val="-2"/>
          <w:sz w:val="18"/>
          <w:highlight w:val="none"/>
          <w14:textFill>
            <w14:solidFill>
              <w14:schemeClr w14:val="tx1"/>
            </w14:solidFill>
          </w14:textFill>
        </w:rPr>
        <w:t xml:space="preserve"> </w:t>
      </w:r>
      <w:r>
        <w:rPr>
          <w:rFonts w:eastAsia="Times New Roman"/>
          <w:color w:val="000000" w:themeColor="text1"/>
          <w:sz w:val="18"/>
          <w:highlight w:val="none"/>
          <w14:textFill>
            <w14:solidFill>
              <w14:schemeClr w14:val="tx1"/>
            </w14:solidFill>
          </w14:textFill>
        </w:rPr>
        <w:t>s4301.413S</w:t>
      </w:r>
      <w:r>
        <w:rPr>
          <w:rFonts w:eastAsia="Times New Roman"/>
          <w:color w:val="000000" w:themeColor="text1"/>
          <w:sz w:val="18"/>
          <w:highlight w:val="none"/>
          <w14:textFill>
            <w14:solidFill>
              <w14:schemeClr w14:val="tx1"/>
            </w14:solidFill>
          </w14:textFill>
        </w:rPr>
        <w:tab/>
      </w:r>
      <w:r>
        <w:rPr>
          <w:color w:val="000000" w:themeColor="text1"/>
          <w:spacing w:val="-3"/>
          <w:highlight w:val="none"/>
          <w14:textFill>
            <w14:solidFill>
              <w14:schemeClr w14:val="tx1"/>
            </w14:solidFill>
          </w14:textFill>
        </w:rPr>
        <w:t>表示胸部损伤导致心肺联合</w:t>
      </w:r>
      <w:r>
        <w:rPr>
          <w:b/>
          <w:color w:val="000000" w:themeColor="text1"/>
          <w:highlight w:val="none"/>
          <w14:textFill>
            <w14:solidFill>
              <w14:schemeClr w14:val="tx1"/>
            </w14:solidFill>
          </w14:textFill>
        </w:rPr>
        <w:t>移植</w:t>
      </w:r>
    </w:p>
    <w:p>
      <w:pPr>
        <w:rPr>
          <w:color w:val="000000" w:themeColor="text1"/>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9"/>
        <w:rPr>
          <w:b/>
          <w:color w:val="000000" w:themeColor="text1"/>
          <w:sz w:val="14"/>
          <w:highlight w:val="none"/>
          <w14:textFill>
            <w14:solidFill>
              <w14:schemeClr w14:val="tx1"/>
            </w14:solidFill>
          </w14:textFill>
        </w:rPr>
      </w:pPr>
    </w:p>
    <w:p>
      <w:pPr>
        <w:pStyle w:val="20"/>
        <w:numPr>
          <w:ilvl w:val="1"/>
          <w:numId w:val="21"/>
        </w:numPr>
        <w:tabs>
          <w:tab w:val="left" w:pos="739"/>
        </w:tabs>
        <w:autoSpaceDE w:val="0"/>
        <w:autoSpaceDN w:val="0"/>
        <w:spacing w:before="72" w:after="0"/>
        <w:ind w:hanging="526"/>
        <w:jc w:val="left"/>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相关关系</w:t>
      </w:r>
    </w:p>
    <w:p>
      <w:pPr>
        <w:pStyle w:val="8"/>
        <w:spacing w:before="6"/>
        <w:rPr>
          <w:rFonts w:ascii="黑体"/>
          <w:color w:val="000000" w:themeColor="text1"/>
          <w:sz w:val="27"/>
          <w:highlight w:val="none"/>
          <w14:textFill>
            <w14:solidFill>
              <w14:schemeClr w14:val="tx1"/>
            </w14:solidFill>
          </w14:textFill>
        </w:rPr>
      </w:pPr>
    </w:p>
    <w:p>
      <w:pPr>
        <w:pStyle w:val="20"/>
        <w:numPr>
          <w:ilvl w:val="2"/>
          <w:numId w:val="21"/>
        </w:numPr>
        <w:tabs>
          <w:tab w:val="left" w:pos="951"/>
        </w:tabs>
        <w:autoSpaceDE w:val="0"/>
        <w:autoSpaceDN w:val="0"/>
        <w:spacing w:before="1" w:after="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身体功能和身体结构的相关关系</w:t>
      </w:r>
    </w:p>
    <w:p>
      <w:pPr>
        <w:pStyle w:val="8"/>
        <w:spacing w:before="6"/>
        <w:rPr>
          <w:rFonts w:ascii="黑体"/>
          <w:color w:val="000000" w:themeColor="text1"/>
          <w:sz w:val="15"/>
          <w:highlight w:val="none"/>
          <w14:textFill>
            <w14:solidFill>
              <w14:schemeClr w14:val="tx1"/>
            </w14:solidFill>
          </w14:textFill>
        </w:rPr>
      </w:pPr>
    </w:p>
    <w:p>
      <w:pPr>
        <w:pStyle w:val="8"/>
        <w:spacing w:line="278" w:lineRule="auto"/>
        <w:ind w:left="212" w:right="709" w:firstLine="420"/>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身体功能和身体结构是平行的。当使用身体功能编码时，应该检查是否需要运用相应的身体结构编</w:t>
      </w:r>
      <w:r>
        <w:rPr>
          <w:color w:val="000000" w:themeColor="text1"/>
          <w:spacing w:val="-14"/>
          <w:highlight w:val="none"/>
          <w14:textFill>
            <w14:solidFill>
              <w14:schemeClr w14:val="tx1"/>
            </w14:solidFill>
          </w14:textFill>
        </w:rPr>
        <w:t xml:space="preserve">码。例如 </w:t>
      </w:r>
      <w:r>
        <w:rPr>
          <w:color w:val="000000" w:themeColor="text1"/>
          <w:highlight w:val="none"/>
          <w14:textFill>
            <w14:solidFill>
              <w14:schemeClr w14:val="tx1"/>
            </w14:solidFill>
          </w14:textFill>
        </w:rPr>
        <w:t>b210-b229</w:t>
      </w:r>
      <w:r>
        <w:rPr>
          <w:color w:val="000000" w:themeColor="text1"/>
          <w:spacing w:val="-4"/>
          <w:highlight w:val="none"/>
          <w14:textFill>
            <w14:solidFill>
              <w14:schemeClr w14:val="tx1"/>
            </w14:solidFill>
          </w14:textFill>
        </w:rPr>
        <w:t xml:space="preserve"> 表示视功能及相关功能，它和</w:t>
      </w:r>
      <w:r>
        <w:rPr>
          <w:color w:val="000000" w:themeColor="text1"/>
          <w:highlight w:val="none"/>
          <w14:textFill>
            <w14:solidFill>
              <w14:schemeClr w14:val="tx1"/>
            </w14:solidFill>
          </w14:textFill>
        </w:rPr>
        <w:t>s210-s230</w:t>
      </w:r>
      <w:r>
        <w:rPr>
          <w:color w:val="000000" w:themeColor="text1"/>
          <w:spacing w:val="-8"/>
          <w:highlight w:val="none"/>
          <w14:textFill>
            <w14:solidFill>
              <w14:schemeClr w14:val="tx1"/>
            </w14:solidFill>
          </w14:textFill>
        </w:rPr>
        <w:t xml:space="preserve"> 表示的眼及其相关结构存在相关关系。</w:t>
      </w:r>
    </w:p>
    <w:p>
      <w:pPr>
        <w:pStyle w:val="20"/>
        <w:numPr>
          <w:ilvl w:val="2"/>
          <w:numId w:val="21"/>
        </w:numPr>
        <w:tabs>
          <w:tab w:val="left" w:pos="951"/>
        </w:tabs>
        <w:autoSpaceDE w:val="0"/>
        <w:autoSpaceDN w:val="0"/>
        <w:spacing w:before="156" w:after="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编码的相关关系</w:t>
      </w:r>
    </w:p>
    <w:p>
      <w:pPr>
        <w:pStyle w:val="8"/>
        <w:spacing w:before="7"/>
        <w:rPr>
          <w:rFonts w:ascii="黑体"/>
          <w:color w:val="000000" w:themeColor="text1"/>
          <w:sz w:val="15"/>
          <w:highlight w:val="none"/>
          <w14:textFill>
            <w14:solidFill>
              <w14:schemeClr w14:val="tx1"/>
            </w14:solidFill>
          </w14:textFill>
        </w:rPr>
      </w:pPr>
    </w:p>
    <w:p>
      <w:pPr>
        <w:pStyle w:val="8"/>
        <w:spacing w:line="278" w:lineRule="auto"/>
        <w:ind w:left="212" w:right="709" w:firstLine="420"/>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身体结构和身体功能的编码存在三种形式：只有身体结构编码、只有身体功能变化以及身体结构和</w:t>
      </w:r>
      <w:r>
        <w:rPr>
          <w:color w:val="000000" w:themeColor="text1"/>
          <w:spacing w:val="-5"/>
          <w:highlight w:val="none"/>
          <w14:textFill>
            <w14:solidFill>
              <w14:schemeClr w14:val="tx1"/>
            </w14:solidFill>
          </w14:textFill>
        </w:rPr>
        <w:t>身体功能编码并存。</w:t>
      </w:r>
    </w:p>
    <w:p>
      <w:pPr>
        <w:pStyle w:val="20"/>
        <w:numPr>
          <w:ilvl w:val="3"/>
          <w:numId w:val="21"/>
        </w:numPr>
        <w:tabs>
          <w:tab w:val="left" w:pos="1159"/>
        </w:tabs>
        <w:autoSpaceDE w:val="0"/>
        <w:autoSpaceDN w:val="0"/>
        <w:spacing w:before="156" w:after="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只有身体结构编码</w:t>
      </w:r>
    </w:p>
    <w:p>
      <w:pPr>
        <w:pStyle w:val="8"/>
        <w:spacing w:before="7"/>
        <w:rPr>
          <w:rFonts w:ascii="黑体"/>
          <w:color w:val="000000" w:themeColor="text1"/>
          <w:sz w:val="15"/>
          <w:highlight w:val="none"/>
          <w14:textFill>
            <w14:solidFill>
              <w14:schemeClr w14:val="tx1"/>
            </w14:solidFill>
          </w14:textFill>
        </w:rPr>
      </w:pPr>
    </w:p>
    <w:p>
      <w:pPr>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例如：</w:t>
      </w:r>
      <w:r>
        <w:rPr>
          <w:rFonts w:eastAsia="Times New Roman"/>
          <w:color w:val="000000" w:themeColor="text1"/>
          <w:sz w:val="18"/>
          <w:highlight w:val="none"/>
          <w14:textFill>
            <w14:solidFill>
              <w14:schemeClr w14:val="tx1"/>
            </w14:solidFill>
          </w14:textFill>
        </w:rPr>
        <w:t>s3100.328</w:t>
      </w:r>
      <w:r>
        <w:rPr>
          <w:color w:val="000000" w:themeColor="text1"/>
          <w:highlight w:val="none"/>
          <w14:textFill>
            <w14:solidFill>
              <w14:schemeClr w14:val="tx1"/>
            </w14:solidFill>
          </w14:textFill>
        </w:rPr>
        <w:t>（外鼻部大部分缺失）</w:t>
      </w:r>
    </w:p>
    <w:p>
      <w:pPr>
        <w:spacing w:before="43"/>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不同的身体结构编码之间用“</w:t>
      </w:r>
      <w:r>
        <w:rPr>
          <w:rFonts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”联系。如：</w:t>
      </w:r>
      <w:r>
        <w:rPr>
          <w:rFonts w:eastAsia="Times New Roman"/>
          <w:color w:val="000000" w:themeColor="text1"/>
          <w:sz w:val="18"/>
          <w:highlight w:val="none"/>
          <w14:textFill>
            <w14:solidFill>
              <w14:schemeClr w14:val="tx1"/>
            </w14:solidFill>
          </w14:textFill>
        </w:rPr>
        <w:t>s3100.224</w:t>
      </w:r>
      <w:r>
        <w:rPr>
          <w:rFonts w:eastAsia="Times New Roman"/>
          <w:color w:val="000000" w:themeColor="text1"/>
          <w:sz w:val="18"/>
          <w:highlight w:val="none"/>
          <w:u w:val="single"/>
          <w14:textFill>
            <w14:solidFill>
              <w14:schemeClr w14:val="tx1"/>
            </w14:solidFill>
          </w14:textFill>
        </w:rPr>
        <w:t xml:space="preserve">, </w:t>
      </w:r>
      <w:r>
        <w:rPr>
          <w:rFonts w:eastAsia="Times New Roman"/>
          <w:color w:val="000000" w:themeColor="text1"/>
          <w:sz w:val="18"/>
          <w:highlight w:val="none"/>
          <w14:textFill>
            <w14:solidFill>
              <w14:schemeClr w14:val="tx1"/>
            </w14:solidFill>
          </w14:textFill>
        </w:rPr>
        <w:t>s3100A.221/2</w:t>
      </w:r>
      <w:r>
        <w:rPr>
          <w:color w:val="000000" w:themeColor="text1"/>
          <w:highlight w:val="none"/>
          <w14:textFill>
            <w14:solidFill>
              <w14:schemeClr w14:val="tx1"/>
            </w14:solidFill>
          </w14:textFill>
        </w:rPr>
        <w:t>（鼻尖</w:t>
      </w:r>
      <w:r>
        <w:rPr>
          <w:b/>
          <w:color w:val="000000" w:themeColor="text1"/>
          <w:highlight w:val="none"/>
          <w14:textFill>
            <w14:solidFill>
              <w14:schemeClr w14:val="tx1"/>
            </w14:solidFill>
          </w14:textFill>
        </w:rPr>
        <w:t>及</w:t>
      </w:r>
      <w:r>
        <w:rPr>
          <w:color w:val="000000" w:themeColor="text1"/>
          <w:highlight w:val="none"/>
          <w14:textFill>
            <w14:solidFill>
              <w14:schemeClr w14:val="tx1"/>
            </w14:solidFill>
          </w14:textFill>
        </w:rPr>
        <w:t>一侧鼻翼缺失）</w:t>
      </w:r>
    </w:p>
    <w:p>
      <w:pPr>
        <w:pStyle w:val="8"/>
        <w:spacing w:before="12"/>
        <w:rPr>
          <w:color w:val="000000" w:themeColor="text1"/>
          <w:sz w:val="9"/>
          <w:highlight w:val="none"/>
          <w14:textFill>
            <w14:solidFill>
              <w14:schemeClr w14:val="tx1"/>
            </w14:solidFill>
          </w14:textFill>
        </w:rPr>
      </w:pPr>
    </w:p>
    <w:p>
      <w:pPr>
        <w:pStyle w:val="20"/>
        <w:numPr>
          <w:ilvl w:val="3"/>
          <w:numId w:val="21"/>
        </w:numPr>
        <w:tabs>
          <w:tab w:val="left" w:pos="1159"/>
        </w:tabs>
        <w:autoSpaceDE w:val="0"/>
        <w:autoSpaceDN w:val="0"/>
        <w:spacing w:before="72" w:after="0"/>
        <w:jc w:val="lef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只有身体功能编码</w:t>
      </w:r>
    </w:p>
    <w:p>
      <w:pPr>
        <w:pStyle w:val="8"/>
        <w:spacing w:before="6"/>
        <w:rPr>
          <w:rFonts w:ascii="黑体"/>
          <w:color w:val="000000" w:themeColor="text1"/>
          <w:sz w:val="15"/>
          <w:highlight w:val="none"/>
          <w14:textFill>
            <w14:solidFill>
              <w14:schemeClr w14:val="tx1"/>
            </w14:solidFill>
          </w14:textFill>
        </w:rPr>
      </w:pPr>
    </w:p>
    <w:p>
      <w:pPr>
        <w:pStyle w:val="8"/>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例如：</w:t>
      </w:r>
      <w:r>
        <w:rPr>
          <w:rFonts w:ascii="Times New Roman" w:eastAsia="Times New Roman"/>
          <w:color w:val="000000" w:themeColor="text1"/>
          <w:sz w:val="18"/>
          <w:highlight w:val="none"/>
          <w14:textFill>
            <w14:solidFill>
              <w14:schemeClr w14:val="tx1"/>
            </w14:solidFill>
          </w14:textFill>
        </w:rPr>
        <w:t>b110.4</w:t>
      </w:r>
      <w:r>
        <w:rPr>
          <w:color w:val="000000" w:themeColor="text1"/>
          <w:highlight w:val="none"/>
          <w14:textFill>
            <w14:solidFill>
              <w14:schemeClr w14:val="tx1"/>
            </w14:solidFill>
          </w14:textFill>
        </w:rPr>
        <w:t>（颅脑损伤导致植物状态，</w:t>
      </w:r>
      <w:r>
        <w:rPr>
          <w:rFonts w:ascii="Times New Roman" w:eastAsia="Times New Roman"/>
          <w:color w:val="000000" w:themeColor="text1"/>
          <w:highlight w:val="none"/>
          <w14:textFill>
            <w14:solidFill>
              <w14:schemeClr w14:val="tx1"/>
            </w14:solidFill>
          </w14:textFill>
        </w:rPr>
        <w:t xml:space="preserve">b110 </w:t>
      </w:r>
      <w:r>
        <w:rPr>
          <w:color w:val="000000" w:themeColor="text1"/>
          <w:highlight w:val="none"/>
          <w14:textFill>
            <w14:solidFill>
              <w14:schemeClr w14:val="tx1"/>
            </w14:solidFill>
          </w14:textFill>
        </w:rPr>
        <w:t>指意识功能）</w:t>
      </w:r>
    </w:p>
    <w:p>
      <w:pPr>
        <w:spacing w:before="43" w:line="278" w:lineRule="auto"/>
        <w:ind w:left="212" w:right="709"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不同的身体功能编码之间用“</w:t>
      </w:r>
      <w:r>
        <w:rPr>
          <w:rFonts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”联系。如：</w:t>
      </w:r>
      <w:r>
        <w:rPr>
          <w:rFonts w:eastAsia="Times New Roman"/>
          <w:color w:val="000000" w:themeColor="text1"/>
          <w:sz w:val="18"/>
          <w:highlight w:val="none"/>
          <w14:textFill>
            <w14:solidFill>
              <w14:schemeClr w14:val="tx1"/>
            </w14:solidFill>
          </w14:textFill>
        </w:rPr>
        <w:t>b230.41/2</w:t>
      </w:r>
      <w:r>
        <w:rPr>
          <w:rFonts w:eastAsia="Times New Roman"/>
          <w:color w:val="000000" w:themeColor="text1"/>
          <w:sz w:val="18"/>
          <w:highlight w:val="none"/>
          <w:u w:val="single"/>
          <w14:textFill>
            <w14:solidFill>
              <w14:schemeClr w14:val="tx1"/>
            </w14:solidFill>
          </w14:textFill>
        </w:rPr>
        <w:t xml:space="preserve">, </w:t>
      </w:r>
      <w:r>
        <w:rPr>
          <w:rFonts w:eastAsia="Times New Roman"/>
          <w:color w:val="000000" w:themeColor="text1"/>
          <w:sz w:val="18"/>
          <w:highlight w:val="none"/>
          <w14:textFill>
            <w14:solidFill>
              <w14:schemeClr w14:val="tx1"/>
            </w14:solidFill>
          </w14:textFill>
        </w:rPr>
        <w:t>b230.32/1</w:t>
      </w:r>
      <w:r>
        <w:rPr>
          <w:color w:val="000000" w:themeColor="text1"/>
          <w:highlight w:val="none"/>
          <w14:textFill>
            <w14:solidFill>
              <w14:schemeClr w14:val="tx1"/>
            </w14:solidFill>
          </w14:textFill>
        </w:rPr>
        <w:t xml:space="preserve">（一耳听力损失大于等于 </w:t>
      </w:r>
      <w:r>
        <w:rPr>
          <w:rFonts w:eastAsia="Times New Roman"/>
          <w:color w:val="000000" w:themeColor="text1"/>
          <w:highlight w:val="none"/>
          <w14:textFill>
            <w14:solidFill>
              <w14:schemeClr w14:val="tx1"/>
            </w14:solidFill>
          </w14:textFill>
        </w:rPr>
        <w:t>91dB</w:t>
      </w:r>
      <w:r>
        <w:rPr>
          <w:color w:val="000000" w:themeColor="text1"/>
          <w:highlight w:val="none"/>
          <w14:textFill>
            <w14:solidFill>
              <w14:schemeClr w14:val="tx1"/>
            </w14:solidFill>
          </w14:textFill>
        </w:rPr>
        <w:t xml:space="preserve">，且另一耳听力损失大于等于 </w:t>
      </w:r>
      <w:r>
        <w:rPr>
          <w:rFonts w:eastAsia="Times New Roman"/>
          <w:color w:val="000000" w:themeColor="text1"/>
          <w:highlight w:val="none"/>
          <w14:textFill>
            <w14:solidFill>
              <w14:schemeClr w14:val="tx1"/>
            </w14:solidFill>
          </w14:textFill>
        </w:rPr>
        <w:t>71dB</w:t>
      </w:r>
      <w:r>
        <w:rPr>
          <w:color w:val="000000" w:themeColor="text1"/>
          <w:highlight w:val="none"/>
          <w14:textFill>
            <w14:solidFill>
              <w14:schemeClr w14:val="tx1"/>
            </w14:solidFill>
          </w14:textFill>
        </w:rPr>
        <w:t>）</w:t>
      </w:r>
    </w:p>
    <w:p>
      <w:pPr>
        <w:pStyle w:val="8"/>
        <w:spacing w:before="156"/>
        <w:ind w:left="212"/>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A．</w:t>
      </w:r>
      <w:r>
        <w:rPr>
          <w:rFonts w:hint="eastAsia" w:ascii="黑体" w:eastAsia="黑体"/>
          <w:color w:val="000000" w:themeColor="text1"/>
          <w:spacing w:val="-62"/>
          <w:highlight w:val="none"/>
          <w14:textFill>
            <w14:solidFill>
              <w14:schemeClr w14:val="tx1"/>
            </w14:solidFill>
          </w14:textFill>
        </w:rPr>
        <w:t xml:space="preserve"> </w:t>
      </w:r>
      <w:r>
        <w:rPr>
          <w:rFonts w:hint="eastAsia" w:ascii="黑体" w:eastAsia="黑体"/>
          <w:color w:val="000000" w:themeColor="text1"/>
          <w:highlight w:val="none"/>
          <w14:textFill>
            <w14:solidFill>
              <w14:schemeClr w14:val="tx1"/>
            </w14:solidFill>
          </w14:textFill>
        </w:rPr>
        <w:t>5.2.3</w:t>
      </w:r>
      <w:r>
        <w:rPr>
          <w:rFonts w:hint="eastAsia" w:ascii="黑体" w:eastAsia="黑体"/>
          <w:color w:val="000000" w:themeColor="text1"/>
          <w:spacing w:val="-3"/>
          <w:highlight w:val="none"/>
          <w14:textFill>
            <w14:solidFill>
              <w14:schemeClr w14:val="tx1"/>
            </w14:solidFill>
          </w14:textFill>
        </w:rPr>
        <w:t xml:space="preserve"> 身体结构和身体功能编码并存</w:t>
      </w:r>
    </w:p>
    <w:p>
      <w:pPr>
        <w:pStyle w:val="8"/>
        <w:spacing w:before="7"/>
        <w:rPr>
          <w:rFonts w:ascii="黑体"/>
          <w:color w:val="000000" w:themeColor="text1"/>
          <w:sz w:val="15"/>
          <w:highlight w:val="none"/>
          <w14:textFill>
            <w14:solidFill>
              <w14:schemeClr w14:val="tx1"/>
            </w14:solidFill>
          </w14:textFill>
        </w:rPr>
      </w:pPr>
    </w:p>
    <w:p>
      <w:pPr>
        <w:pStyle w:val="8"/>
        <w:spacing w:line="278" w:lineRule="auto"/>
        <w:ind w:left="573" w:right="2759" w:firstLine="60"/>
        <w:rPr>
          <w:color w:val="000000" w:themeColor="text1"/>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page">
                  <wp:posOffset>1421765</wp:posOffset>
                </wp:positionH>
                <wp:positionV relativeFrom="paragraph">
                  <wp:posOffset>343535</wp:posOffset>
                </wp:positionV>
                <wp:extent cx="31750" cy="5715"/>
                <wp:effectExtent l="0" t="0" r="0" b="0"/>
                <wp:wrapNone/>
                <wp:docPr id="123" name="矩形 123"/>
                <wp:cNvGraphicFramePr/>
                <a:graphic xmlns:a="http://schemas.openxmlformats.org/drawingml/2006/main">
                  <a:graphicData uri="http://schemas.microsoft.com/office/word/2010/wordprocessingShape">
                    <wps:wsp>
                      <wps:cNvSpPr/>
                      <wps:spPr>
                        <a:xfrm>
                          <a:off x="0" y="0"/>
                          <a:ext cx="31750" cy="5715"/>
                        </a:xfrm>
                        <a:prstGeom prst="rect">
                          <a:avLst/>
                        </a:prstGeom>
                        <a:solidFill>
                          <a:srgbClr val="000000"/>
                        </a:solidFill>
                        <a:ln w="9525">
                          <a:noFill/>
                        </a:ln>
                      </wps:spPr>
                      <wps:bodyPr upright="1"/>
                    </wps:wsp>
                  </a:graphicData>
                </a:graphic>
              </wp:anchor>
            </w:drawing>
          </mc:Choice>
          <mc:Fallback>
            <w:pict>
              <v:rect id="_x0000_s1026" o:spid="_x0000_s1026" o:spt="1" style="position:absolute;left:0pt;margin-left:111.95pt;margin-top:27.05pt;height:0.45pt;width:2.5pt;mso-position-horizontal-relative:page;z-index:-251652096;mso-width-relative:page;mso-height-relative:page;" fillcolor="#000000" filled="t" stroked="f" coordsize="21600,21600" o:gfxdata="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LUMI9gAAAAJAQAADwAAAAAAAAABACAAAAAiAAAAZHJzL2Rvd25yZXYueG1sUEsBAhQAFAAA&#10;AAgAh07iQFNHqoi2AQAAaAMAAA4AAAAAAAAAAQAgAAAAJwEAAGRycy9lMm9Eb2MueG1sUEsFBgAA&#10;AAAGAAYAWQEAAE8FAAAAAA==&#10;">
                <v:fill on="t" focussize="0,0"/>
                <v:stroke on="f"/>
                <v:imagedata o:title=""/>
                <o:lock v:ext="edit" aspectratio="f"/>
              </v:rect>
            </w:pict>
          </mc:Fallback>
        </mc:AlternateContent>
      </w:r>
      <w:r>
        <w:rPr>
          <w:color w:val="000000" w:themeColor="text1"/>
          <w:highlight w:val="none"/>
          <w14:textFill>
            <w14:solidFill>
              <w14:schemeClr w14:val="tx1"/>
            </w14:solidFill>
          </w14:textFill>
        </w:rPr>
        <w:t>身体结构和身体功能编码之间用分号“</w:t>
      </w:r>
      <w:r>
        <w:rPr>
          <w:rFonts w:ascii="Times New Roman" w:hAns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”联系，形成一个组合。如： </w:t>
      </w:r>
      <w:r>
        <w:rPr>
          <w:rFonts w:ascii="Times New Roman" w:hAnsi="Times New Roman" w:eastAsia="Times New Roman"/>
          <w:color w:val="000000" w:themeColor="text1"/>
          <w:sz w:val="18"/>
          <w:highlight w:val="none"/>
          <w14:textFill>
            <w14:solidFill>
              <w14:schemeClr w14:val="tx1"/>
            </w14:solidFill>
          </w14:textFill>
        </w:rPr>
        <w:t xml:space="preserve">s5400.328;b5152.3 </w:t>
      </w:r>
      <w:r>
        <w:rPr>
          <w:color w:val="000000" w:themeColor="text1"/>
          <w:highlight w:val="none"/>
          <w14:textFill>
            <w14:solidFill>
              <w14:schemeClr w14:val="tx1"/>
            </w14:solidFill>
          </w14:textFill>
        </w:rPr>
        <w:t xml:space="preserve">（腹部损伤导致小肠切除大于等于 </w:t>
      </w:r>
      <w:r>
        <w:rPr>
          <w:rFonts w:ascii="Times New Roman" w:hAnsi="Times New Roman" w:eastAsia="Times New Roman"/>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t>，合并短肠综合症） 身体结构和不同部位身体功能编码之间用逗号“</w:t>
      </w:r>
      <w:r>
        <w:rPr>
          <w:rFonts w:ascii="Times New Roman" w:hAns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”联系。如：</w:t>
      </w:r>
    </w:p>
    <w:p>
      <w:pPr>
        <w:ind w:left="573"/>
        <w:rPr>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s220.411/2</w:t>
      </w:r>
      <w:r>
        <w:rPr>
          <w:rFonts w:eastAsia="Times New Roman"/>
          <w:color w:val="000000" w:themeColor="text1"/>
          <w:sz w:val="18"/>
          <w:highlight w:val="none"/>
          <w:u w:val="single"/>
          <w14:textFill>
            <w14:solidFill>
              <w14:schemeClr w14:val="tx1"/>
            </w14:solidFill>
          </w14:textFill>
        </w:rPr>
        <w:t xml:space="preserve">, </w:t>
      </w:r>
      <w:r>
        <w:rPr>
          <w:rFonts w:eastAsia="Times New Roman"/>
          <w:color w:val="000000" w:themeColor="text1"/>
          <w:sz w:val="18"/>
          <w:highlight w:val="none"/>
          <w14:textFill>
            <w14:solidFill>
              <w14:schemeClr w14:val="tx1"/>
            </w14:solidFill>
          </w14:textFill>
        </w:rPr>
        <w:t xml:space="preserve">b210.4Z2/1 </w:t>
      </w:r>
      <w:r>
        <w:rPr>
          <w:color w:val="000000" w:themeColor="text1"/>
          <w:highlight w:val="none"/>
          <w14:textFill>
            <w14:solidFill>
              <w14:schemeClr w14:val="tx1"/>
            </w14:solidFill>
          </w14:textFill>
        </w:rPr>
        <w:t xml:space="preserve">（一侧眼球缺失，且另一侧眼盲目 </w:t>
      </w:r>
      <w:r>
        <w:rPr>
          <w:rFonts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级）</w:t>
      </w:r>
    </w:p>
    <w:p>
      <w:pPr>
        <w:pStyle w:val="8"/>
        <w:spacing w:before="12"/>
        <w:rPr>
          <w:color w:val="000000" w:themeColor="text1"/>
          <w:sz w:val="9"/>
          <w:highlight w:val="none"/>
          <w14:textFill>
            <w14:solidFill>
              <w14:schemeClr w14:val="tx1"/>
            </w14:solidFill>
          </w14:textFill>
        </w:rPr>
      </w:pPr>
    </w:p>
    <w:p>
      <w:pPr>
        <w:pStyle w:val="8"/>
        <w:spacing w:before="72"/>
        <w:ind w:left="212"/>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A．5.2.4 身体结构及身体功能编码的并列选择</w:t>
      </w:r>
    </w:p>
    <w:p>
      <w:pPr>
        <w:pStyle w:val="8"/>
        <w:spacing w:before="6"/>
        <w:rPr>
          <w:rFonts w:ascii="黑体"/>
          <w:color w:val="000000" w:themeColor="text1"/>
          <w:sz w:val="15"/>
          <w:highlight w:val="none"/>
          <w14:textFill>
            <w14:solidFill>
              <w14:schemeClr w14:val="tx1"/>
            </w14:solidFill>
          </w14:textFill>
        </w:rPr>
      </w:pPr>
    </w:p>
    <w:p>
      <w:pPr>
        <w:pStyle w:val="8"/>
        <w:ind w:left="63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身体结构编码或功能结构编码之间是 </w:t>
      </w:r>
      <w:r>
        <w:rPr>
          <w:rFonts w:ascii="Times New Roman" w:hAnsi="Times New Roman" w:eastAsia="Times New Roman"/>
          <w:color w:val="000000" w:themeColor="text1"/>
          <w:highlight w:val="none"/>
          <w14:textFill>
            <w14:solidFill>
              <w14:schemeClr w14:val="tx1"/>
            </w14:solidFill>
          </w14:textFill>
        </w:rPr>
        <w:t>“/ ”</w:t>
      </w:r>
      <w:r>
        <w:rPr>
          <w:rFonts w:hint="eastAsia" w:ascii="Times New Roman" w:hAnsi="Times New Roman"/>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“或”</w:t>
      </w:r>
      <w:r>
        <w:rPr>
          <w:rFonts w:hint="eastAsia" w:ascii="Times New Roman" w:hAnsi="Times New Roman"/>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的选择关系。例如：</w:t>
      </w:r>
    </w:p>
    <w:p>
      <w:pPr>
        <w:tabs>
          <w:tab w:val="left" w:pos="3470"/>
        </w:tabs>
        <w:spacing w:before="43"/>
        <w:ind w:left="573"/>
        <w:rPr>
          <w:color w:val="000000" w:themeColor="text1"/>
          <w:highlight w:val="none"/>
          <w14:textFill>
            <w14:solidFill>
              <w14:schemeClr w14:val="tx1"/>
            </w14:solidFill>
          </w14:textFill>
        </w:rPr>
      </w:pPr>
      <w:r>
        <w:rPr>
          <w:color w:val="000000" w:themeColor="text1"/>
          <w:sz w:val="22"/>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page">
                  <wp:posOffset>1504315</wp:posOffset>
                </wp:positionH>
                <wp:positionV relativeFrom="paragraph">
                  <wp:posOffset>172720</wp:posOffset>
                </wp:positionV>
                <wp:extent cx="31750" cy="5715"/>
                <wp:effectExtent l="0" t="0" r="0" b="0"/>
                <wp:wrapNone/>
                <wp:docPr id="124" name="矩形 124"/>
                <wp:cNvGraphicFramePr/>
                <a:graphic xmlns:a="http://schemas.openxmlformats.org/drawingml/2006/main">
                  <a:graphicData uri="http://schemas.microsoft.com/office/word/2010/wordprocessingShape">
                    <wps:wsp>
                      <wps:cNvSpPr/>
                      <wps:spPr>
                        <a:xfrm>
                          <a:off x="0" y="0"/>
                          <a:ext cx="31750" cy="5715"/>
                        </a:xfrm>
                        <a:prstGeom prst="rect">
                          <a:avLst/>
                        </a:prstGeom>
                        <a:solidFill>
                          <a:srgbClr val="000000"/>
                        </a:solidFill>
                        <a:ln w="9525">
                          <a:noFill/>
                        </a:ln>
                      </wps:spPr>
                      <wps:bodyPr upright="1"/>
                    </wps:wsp>
                  </a:graphicData>
                </a:graphic>
              </wp:anchor>
            </w:drawing>
          </mc:Choice>
          <mc:Fallback>
            <w:pict>
              <v:rect id="_x0000_s1026" o:spid="_x0000_s1026" o:spt="1" style="position:absolute;left:0pt;margin-left:118.45pt;margin-top:13.6pt;height:0.45pt;width:2.5pt;mso-position-horizontal-relative:page;z-index:251678720;mso-width-relative:page;mso-height-relative:page;" fillcolor="#000000" filled="t" stroked="f" coordsize="21600,21600" o:gfxdata="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PRbqHYAAAACQEAAA8AAAAAAAAAAQAgAAAAIgAAAGRycy9kb3ducmV2LnhtbFBLAQIUABQA&#10;AAAIAIdO4kAIIxbttwEAAGgDAAAOAAAAAAAAAAEAIAAAACcBAABkcnMvZTJvRG9jLnhtbFBLBQYA&#10;AAAABgAGAFkBAABQBQAAAAA=&#10;">
                <v:fill on="t" focussize="0,0"/>
                <v:stroke on="f"/>
                <v:imagedata o:title=""/>
                <o:lock v:ext="edit" aspectratio="f"/>
              </v:rect>
            </w:pict>
          </mc:Fallback>
        </mc:AlternateContent>
      </w:r>
      <w:r>
        <w:rPr>
          <w:color w:val="000000" w:themeColor="text1"/>
          <w:sz w:val="22"/>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page">
                  <wp:posOffset>3453765</wp:posOffset>
                </wp:positionH>
                <wp:positionV relativeFrom="paragraph">
                  <wp:posOffset>182245</wp:posOffset>
                </wp:positionV>
                <wp:extent cx="133985" cy="635"/>
                <wp:effectExtent l="0" t="0" r="0" b="0"/>
                <wp:wrapNone/>
                <wp:docPr id="125" name="直接连接符 125"/>
                <wp:cNvGraphicFramePr/>
                <a:graphic xmlns:a="http://schemas.openxmlformats.org/drawingml/2006/main">
                  <a:graphicData uri="http://schemas.microsoft.com/office/word/2010/wordprocessingShape">
                    <wps:wsp>
                      <wps:cNvCnPr/>
                      <wps:spPr>
                        <a:xfrm>
                          <a:off x="0" y="0"/>
                          <a:ext cx="133985"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1.95pt;margin-top:14.35pt;height:0.05pt;width:10.55pt;mso-position-horizontal-relative:page;z-index:251679744;mso-width-relative:page;mso-height-relative:page;" filled="f" stroked="t" coordsize="21600,21600" o:gfxdata="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pEhnNcAAAAJAQAADwAAAAAAAAABACAAAAAiAAAAZHJzL2Rvd25yZXYueG1s&#10;UEsBAhQAFAAAAAgAh07iQGbTikH5AQAA6QMAAA4AAAAAAAAAAQAgAAAAJgEAAGRycy9lMm9Eb2Mu&#10;eG1sUEsFBgAAAAAGAAYAWQEAAJEFAAAAAA==&#10;">
                <v:fill on="f" focussize="0,0"/>
                <v:stroke weight="0.6pt" color="#000000" joinstyle="round"/>
                <v:imagedata o:title=""/>
                <o:lock v:ext="edit" aspectratio="f"/>
              </v:line>
            </w:pict>
          </mc:Fallback>
        </mc:AlternateContent>
      </w:r>
      <w:r>
        <w:rPr>
          <w:rFonts w:eastAsia="Times New Roman"/>
          <w:color w:val="000000" w:themeColor="text1"/>
          <w:sz w:val="18"/>
          <w:highlight w:val="none"/>
          <w14:textFill>
            <w14:solidFill>
              <w14:schemeClr w14:val="tx1"/>
            </w14:solidFill>
          </w14:textFill>
        </w:rPr>
        <w:t>s3108A.251/2</w:t>
      </w:r>
      <w:r>
        <w:rPr>
          <w:rFonts w:eastAsia="Times New Roman"/>
          <w:color w:val="000000" w:themeColor="text1"/>
          <w:sz w:val="18"/>
          <w:highlight w:val="none"/>
          <w14:textFill>
            <w14:solidFill>
              <w14:schemeClr w14:val="tx1"/>
            </w14:solidFill>
          </w14:textFill>
        </w:rPr>
        <w:tab/>
      </w:r>
      <w:r>
        <w:rPr>
          <w:color w:val="000000" w:themeColor="text1"/>
          <w:spacing w:val="-2"/>
          <w:highlight w:val="none"/>
          <w14:textFill>
            <w14:solidFill>
              <w14:schemeClr w14:val="tx1"/>
            </w14:solidFill>
          </w14:textFill>
        </w:rPr>
        <w:t>单侧</w:t>
      </w:r>
      <w:r>
        <w:rPr>
          <w:color w:val="000000" w:themeColor="text1"/>
          <w:spacing w:val="-3"/>
          <w:highlight w:val="none"/>
          <w14:textFill>
            <w14:solidFill>
              <w14:schemeClr w14:val="tx1"/>
            </w14:solidFill>
          </w14:textFill>
        </w:rPr>
        <w:t>（左侧或右侧）</w:t>
      </w:r>
      <w:r>
        <w:rPr>
          <w:color w:val="000000" w:themeColor="text1"/>
          <w:spacing w:val="-2"/>
          <w:highlight w:val="none"/>
          <w14:textFill>
            <w14:solidFill>
              <w14:schemeClr w14:val="tx1"/>
            </w14:solidFill>
          </w14:textFill>
        </w:rPr>
        <w:t>鼻腔闭锁</w:t>
      </w:r>
    </w:p>
    <w:p>
      <w:pPr>
        <w:tabs>
          <w:tab w:val="left" w:pos="3499"/>
        </w:tabs>
        <w:spacing w:before="43"/>
        <w:ind w:left="573"/>
        <w:rPr>
          <w:color w:val="000000" w:themeColor="text1"/>
          <w:highlight w:val="none"/>
          <w14:textFill>
            <w14:solidFill>
              <w14:schemeClr w14:val="tx1"/>
            </w14:solidFill>
          </w14:textFill>
        </w:rPr>
      </w:pPr>
      <w:r>
        <w:rPr>
          <w:color w:val="000000" w:themeColor="text1"/>
          <w:sz w:val="22"/>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page">
                  <wp:posOffset>3339465</wp:posOffset>
                </wp:positionH>
                <wp:positionV relativeFrom="paragraph">
                  <wp:posOffset>182245</wp:posOffset>
                </wp:positionV>
                <wp:extent cx="133985" cy="635"/>
                <wp:effectExtent l="0" t="0" r="0" b="0"/>
                <wp:wrapNone/>
                <wp:docPr id="126" name="直接连接符 126"/>
                <wp:cNvGraphicFramePr/>
                <a:graphic xmlns:a="http://schemas.openxmlformats.org/drawingml/2006/main">
                  <a:graphicData uri="http://schemas.microsoft.com/office/word/2010/wordprocessingShape">
                    <wps:wsp>
                      <wps:cNvCnPr/>
                      <wps:spPr>
                        <a:xfrm>
                          <a:off x="0" y="0"/>
                          <a:ext cx="133985"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2.95pt;margin-top:14.35pt;height:0.05pt;width:10.55pt;mso-position-horizontal-relative:page;z-index:251680768;mso-width-relative:page;mso-height-relative:page;" filled="f" stroked="t" coordsize="21600,21600" o:gfxdata="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1exf91wAAAAkBAAAPAAAAAAAAAAEAIAAAACIAAABkcnMvZG93bnJldi54bWxQ&#10;SwECFAAUAAAACACHTuJAvc1VCfgBAADpAwAADgAAAAAAAAABACAAAAAmAQAAZHJzL2Uyb0RvYy54&#10;bWxQSwUGAAAAAAYABgBZAQAAkAUAAAAA&#10;">
                <v:fill on="f" focussize="0,0"/>
                <v:stroke weight="0.6pt" color="#000000" joinstyle="round"/>
                <v:imagedata o:title=""/>
                <o:lock v:ext="edit" aspectratio="f"/>
              </v:line>
            </w:pict>
          </mc:Fallback>
        </mc:AlternateContent>
      </w:r>
      <w:r>
        <w:rPr>
          <w:rFonts w:eastAsia="Times New Roman"/>
          <w:color w:val="000000" w:themeColor="text1"/>
          <w:sz w:val="18"/>
          <w:highlight w:val="none"/>
          <w14:textFill>
            <w14:solidFill>
              <w14:schemeClr w14:val="tx1"/>
            </w14:solidFill>
          </w14:textFill>
        </w:rPr>
        <w:t>s3108A.251/2</w:t>
      </w:r>
      <w:r>
        <w:rPr>
          <w:rFonts w:eastAsia="Times New Roman"/>
          <w:b/>
          <w:color w:val="000000" w:themeColor="text1"/>
          <w:sz w:val="18"/>
          <w:highlight w:val="none"/>
          <w:u w:val="single"/>
          <w14:textFill>
            <w14:solidFill>
              <w14:schemeClr w14:val="tx1"/>
            </w14:solidFill>
          </w14:textFill>
        </w:rPr>
        <w:t>/</w:t>
      </w:r>
      <w:r>
        <w:rPr>
          <w:rFonts w:eastAsia="Times New Roman"/>
          <w:b/>
          <w:color w:val="000000" w:themeColor="text1"/>
          <w:spacing w:val="-1"/>
          <w:sz w:val="18"/>
          <w:highlight w:val="none"/>
          <w:u w:val="single"/>
          <w14:textFill>
            <w14:solidFill>
              <w14:schemeClr w14:val="tx1"/>
            </w14:solidFill>
          </w14:textFill>
        </w:rPr>
        <w:t xml:space="preserve"> </w:t>
      </w:r>
      <w:r>
        <w:rPr>
          <w:rFonts w:eastAsia="Times New Roman"/>
          <w:color w:val="000000" w:themeColor="text1"/>
          <w:sz w:val="18"/>
          <w:highlight w:val="none"/>
          <w14:textFill>
            <w14:solidFill>
              <w14:schemeClr w14:val="tx1"/>
            </w14:solidFill>
          </w14:textFill>
        </w:rPr>
        <w:t>s3108B.251/2</w:t>
      </w:r>
      <w:r>
        <w:rPr>
          <w:rFonts w:eastAsia="Times New Roman"/>
          <w:color w:val="000000" w:themeColor="text1"/>
          <w:sz w:val="18"/>
          <w:highlight w:val="none"/>
          <w14:textFill>
            <w14:solidFill>
              <w14:schemeClr w14:val="tx1"/>
            </w14:solidFill>
          </w14:textFill>
        </w:rPr>
        <w:tab/>
      </w:r>
      <w:r>
        <w:rPr>
          <w:color w:val="000000" w:themeColor="text1"/>
          <w:spacing w:val="-3"/>
          <w:highlight w:val="none"/>
          <w14:textFill>
            <w14:solidFill>
              <w14:schemeClr w14:val="tx1"/>
            </w14:solidFill>
          </w14:textFill>
        </w:rPr>
        <w:t>单侧鼻腔或鼻孔闭锁</w:t>
      </w:r>
    </w:p>
    <w:p>
      <w:pPr>
        <w:tabs>
          <w:tab w:val="left" w:pos="3516"/>
        </w:tabs>
        <w:spacing w:before="43"/>
        <w:ind w:left="573"/>
        <w:rPr>
          <w:color w:val="000000" w:themeColor="text1"/>
          <w:highlight w:val="none"/>
          <w14:textFill>
            <w14:solidFill>
              <w14:schemeClr w14:val="tx1"/>
            </w14:solidFill>
          </w14:textFill>
        </w:rPr>
      </w:pPr>
      <w:r>
        <w:rPr>
          <w:color w:val="000000" w:themeColor="text1"/>
          <w:sz w:val="22"/>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page">
                  <wp:posOffset>4293870</wp:posOffset>
                </wp:positionH>
                <wp:positionV relativeFrom="paragraph">
                  <wp:posOffset>182245</wp:posOffset>
                </wp:positionV>
                <wp:extent cx="132080" cy="635"/>
                <wp:effectExtent l="0" t="0" r="0" b="0"/>
                <wp:wrapNone/>
                <wp:docPr id="127" name="直接连接符 127"/>
                <wp:cNvGraphicFramePr/>
                <a:graphic xmlns:a="http://schemas.openxmlformats.org/drawingml/2006/main">
                  <a:graphicData uri="http://schemas.microsoft.com/office/word/2010/wordprocessingShape">
                    <wps:wsp>
                      <wps:cNvCnPr/>
                      <wps:spPr>
                        <a:xfrm>
                          <a:off x="0" y="0"/>
                          <a:ext cx="132080"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8.1pt;margin-top:14.35pt;height:0.05pt;width:10.4pt;mso-position-horizontal-relative:page;z-index:251681792;mso-width-relative:page;mso-height-relative:page;" filled="f" stroked="t" coordsize="21600,21600" o:gfxdata="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PZUI1gAAAAkBAAAPAAAAAAAAAAEAIAAAACIAAABkcnMvZG93bnJldi54bWxQSwEC&#10;FAAUAAAACACHTuJArSxw9vYBAADpAwAADgAAAAAAAAABACAAAAAlAQAAZHJzL2Uyb0RvYy54bWxQ&#10;SwUGAAAAAAYABgBZAQAAjQUAAAAA&#10;">
                <v:fill on="f" focussize="0,0"/>
                <v:stroke weight="0.6pt" color="#000000" joinstyle="round"/>
                <v:imagedata o:title=""/>
                <o:lock v:ext="edit" aspectratio="f"/>
              </v:line>
            </w:pict>
          </mc:Fallback>
        </mc:AlternateContent>
      </w:r>
      <w:r>
        <w:rPr>
          <w:rFonts w:eastAsia="Times New Roman"/>
          <w:color w:val="000000" w:themeColor="text1"/>
          <w:sz w:val="18"/>
          <w:highlight w:val="none"/>
          <w14:textFill>
            <w14:solidFill>
              <w14:schemeClr w14:val="tx1"/>
            </w14:solidFill>
          </w14:textFill>
        </w:rPr>
        <w:t>s7302.323</w:t>
      </w:r>
      <w:r>
        <w:rPr>
          <w:rFonts w:eastAsia="Times New Roman"/>
          <w:b/>
          <w:color w:val="000000" w:themeColor="text1"/>
          <w:sz w:val="18"/>
          <w:highlight w:val="none"/>
          <w:u w:val="single"/>
          <w14:textFill>
            <w14:solidFill>
              <w14:schemeClr w14:val="tx1"/>
            </w14:solidFill>
          </w14:textFill>
        </w:rPr>
        <w:t>/</w:t>
      </w:r>
      <w:r>
        <w:rPr>
          <w:rFonts w:eastAsia="Times New Roman"/>
          <w:b/>
          <w:color w:val="000000" w:themeColor="text1"/>
          <w:spacing w:val="-2"/>
          <w:sz w:val="18"/>
          <w:highlight w:val="none"/>
          <w:u w:val="single"/>
          <w14:textFill>
            <w14:solidFill>
              <w14:schemeClr w14:val="tx1"/>
            </w14:solidFill>
          </w14:textFill>
        </w:rPr>
        <w:t xml:space="preserve"> </w:t>
      </w:r>
      <w:r>
        <w:rPr>
          <w:rFonts w:eastAsia="Times New Roman"/>
          <w:color w:val="000000" w:themeColor="text1"/>
          <w:sz w:val="18"/>
          <w:highlight w:val="none"/>
          <w14:textFill>
            <w14:solidFill>
              <w14:schemeClr w14:val="tx1"/>
            </w14:solidFill>
          </w14:textFill>
        </w:rPr>
        <w:t>s7302.883;b710.3</w:t>
      </w:r>
      <w:r>
        <w:rPr>
          <w:rFonts w:eastAsia="Times New Roman"/>
          <w:color w:val="000000" w:themeColor="text1"/>
          <w:sz w:val="18"/>
          <w:highlight w:val="none"/>
          <w14:textFill>
            <w14:solidFill>
              <w14:schemeClr w14:val="tx1"/>
            </w14:solidFill>
          </w14:textFill>
        </w:rPr>
        <w:tab/>
      </w:r>
      <w:r>
        <w:rPr>
          <w:color w:val="000000" w:themeColor="text1"/>
          <w:spacing w:val="-9"/>
          <w:highlight w:val="none"/>
          <w14:textFill>
            <w14:solidFill>
              <w14:schemeClr w14:val="tx1"/>
            </w14:solidFill>
          </w14:textFill>
        </w:rPr>
        <w:t xml:space="preserve">双手缺失大于等于 </w:t>
      </w:r>
      <w:r>
        <w:rPr>
          <w:rFonts w:eastAsia="Times New Roman"/>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t>（</w:t>
      </w:r>
      <w:r>
        <w:rPr>
          <w:color w:val="000000" w:themeColor="text1"/>
          <w:spacing w:val="-8"/>
          <w:highlight w:val="none"/>
          <w14:textFill>
            <w14:solidFill>
              <w14:schemeClr w14:val="tx1"/>
            </w14:solidFill>
          </w14:textFill>
        </w:rPr>
        <w:t xml:space="preserve">或丧失功能大于等于 </w:t>
      </w:r>
      <w:r>
        <w:rPr>
          <w:rFonts w:eastAsia="Times New Roman"/>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t>）</w:t>
      </w:r>
    </w:p>
    <w:p>
      <w:pPr>
        <w:tabs>
          <w:tab w:val="left" w:pos="3554"/>
        </w:tabs>
        <w:spacing w:before="43"/>
        <w:ind w:left="573"/>
        <w:rPr>
          <w:color w:val="000000" w:themeColor="text1"/>
          <w:highlight w:val="none"/>
          <w14:textFill>
            <w14:solidFill>
              <w14:schemeClr w14:val="tx1"/>
            </w14:solidFill>
          </w14:textFill>
        </w:rPr>
      </w:pPr>
      <w:r>
        <w:rPr>
          <w:rFonts w:eastAsia="Times New Roman"/>
          <w:color w:val="000000" w:themeColor="text1"/>
          <w:sz w:val="18"/>
          <w:highlight w:val="none"/>
          <w14:textFill>
            <w14:solidFill>
              <w14:schemeClr w14:val="tx1"/>
            </w14:solidFill>
          </w14:textFill>
        </w:rPr>
        <w:t>s73011.411/26</w:t>
      </w:r>
      <w:r>
        <w:rPr>
          <w:rFonts w:eastAsia="Times New Roman"/>
          <w:color w:val="000000" w:themeColor="text1"/>
          <w:sz w:val="18"/>
          <w:highlight w:val="none"/>
          <w:u w:val="single"/>
          <w14:textFill>
            <w14:solidFill>
              <w14:schemeClr w14:val="tx1"/>
            </w14:solidFill>
          </w14:textFill>
        </w:rPr>
        <w:t>/</w:t>
      </w:r>
      <w:r>
        <w:rPr>
          <w:rFonts w:eastAsia="Times New Roman"/>
          <w:color w:val="000000" w:themeColor="text1"/>
          <w:spacing w:val="35"/>
          <w:sz w:val="18"/>
          <w:highlight w:val="none"/>
          <w:u w:val="single"/>
          <w14:textFill>
            <w14:solidFill>
              <w14:schemeClr w14:val="tx1"/>
            </w14:solidFill>
          </w14:textFill>
        </w:rPr>
        <w:t xml:space="preserve"> </w:t>
      </w:r>
      <w:r>
        <w:rPr>
          <w:rFonts w:eastAsia="Times New Roman"/>
          <w:color w:val="000000" w:themeColor="text1"/>
          <w:sz w:val="18"/>
          <w:highlight w:val="none"/>
          <w14:textFill>
            <w14:solidFill>
              <w14:schemeClr w14:val="tx1"/>
            </w14:solidFill>
          </w14:textFill>
        </w:rPr>
        <w:t>s75021.411/26</w:t>
      </w:r>
      <w:r>
        <w:rPr>
          <w:rFonts w:eastAsia="Times New Roman"/>
          <w:color w:val="000000" w:themeColor="text1"/>
          <w:sz w:val="18"/>
          <w:highlight w:val="none"/>
          <w14:textFill>
            <w14:solidFill>
              <w14:schemeClr w14:val="tx1"/>
            </w14:solidFill>
          </w14:textFill>
        </w:rPr>
        <w:tab/>
      </w:r>
      <w:r>
        <w:rPr>
          <w:color w:val="000000" w:themeColor="text1"/>
          <w:highlight w:val="none"/>
          <w14:textFill>
            <w14:solidFill>
              <w14:schemeClr w14:val="tx1"/>
            </w14:solidFill>
          </w14:textFill>
        </w:rPr>
        <w:t>一肢缺失</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上肢在腕关节以上，下肢在踝关节以上</w:t>
      </w:r>
      <w:r>
        <w:rPr>
          <w:rFonts w:hint="eastAsia"/>
          <w:color w:val="000000" w:themeColor="text1"/>
          <w:spacing w:val="1"/>
          <w:highlight w:val="none"/>
          <w:lang w:eastAsia="zh-CN"/>
          <w14:textFill>
            <w14:solidFill>
              <w14:schemeClr w14:val="tx1"/>
            </w14:solidFill>
          </w14:textFill>
        </w:rPr>
        <w:t>）</w:t>
      </w:r>
      <w:r>
        <w:rPr>
          <w:rFonts w:eastAsia="Times New Roman"/>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左上肢</w:t>
      </w:r>
      <w:r>
        <w:rPr>
          <w:color w:val="000000" w:themeColor="text1"/>
          <w:highlight w:val="none"/>
          <w:u w:val="single"/>
          <w14:textFill>
            <w14:solidFill>
              <w14:schemeClr w14:val="tx1"/>
            </w14:solidFill>
          </w14:textFill>
        </w:rPr>
        <w:t>或</w:t>
      </w:r>
      <w:r>
        <w:rPr>
          <w:color w:val="000000" w:themeColor="text1"/>
          <w:highlight w:val="none"/>
          <w14:textFill>
            <w14:solidFill>
              <w14:schemeClr w14:val="tx1"/>
            </w14:solidFill>
          </w14:textFill>
        </w:rPr>
        <w:t>右上</w:t>
      </w:r>
    </w:p>
    <w:p>
      <w:pPr>
        <w:pStyle w:val="8"/>
        <w:spacing w:before="43"/>
        <w:ind w:right="741"/>
        <w:jc w:val="center"/>
        <w:rPr>
          <w:color w:val="000000" w:themeColor="text1"/>
          <w:highlight w:val="none"/>
          <w:lang w:val="en-US"/>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page">
                  <wp:posOffset>3013075</wp:posOffset>
                </wp:positionH>
                <wp:positionV relativeFrom="paragraph">
                  <wp:posOffset>182245</wp:posOffset>
                </wp:positionV>
                <wp:extent cx="133985" cy="635"/>
                <wp:effectExtent l="0" t="0" r="0" b="0"/>
                <wp:wrapNone/>
                <wp:docPr id="128" name="直接连接符 128"/>
                <wp:cNvGraphicFramePr/>
                <a:graphic xmlns:a="http://schemas.openxmlformats.org/drawingml/2006/main">
                  <a:graphicData uri="http://schemas.microsoft.com/office/word/2010/wordprocessingShape">
                    <wps:wsp>
                      <wps:cNvCnPr/>
                      <wps:spPr>
                        <a:xfrm>
                          <a:off x="0" y="0"/>
                          <a:ext cx="133985"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25pt;margin-top:14.35pt;height:0.05pt;width:10.55pt;mso-position-horizontal-relative:page;z-index:251682816;mso-width-relative:page;mso-height-relative:page;" filled="f" stroked="t" coordsize="21600,21600" o:gfxdata="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URV9gAAAAJAQAADwAAAAAAAAABACAAAAAiAAAAZHJzL2Rvd25yZXYueG1s&#10;UEsBAhQAFAAAAAgAh07iQD2mHTf4AQAA6QMAAA4AAAAAAAAAAQAgAAAAJwEAAGRycy9lMm9Eb2Mu&#10;eG1sUEsFBgAAAAAGAAYAWQEAAJEFAAAAAA==&#10;">
                <v:fill on="f" focussize="0,0"/>
                <v:stroke weight="0.6pt" color="#000000" joinstyle="round"/>
                <v:imagedata o:title=""/>
                <o:lock v:ext="edit" aspectratio="f"/>
              </v:line>
            </w:pict>
          </mc:Fallback>
        </mc:AlternateContent>
      </w: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page">
                  <wp:posOffset>3546475</wp:posOffset>
                </wp:positionH>
                <wp:positionV relativeFrom="paragraph">
                  <wp:posOffset>182245</wp:posOffset>
                </wp:positionV>
                <wp:extent cx="133985" cy="635"/>
                <wp:effectExtent l="0" t="0" r="0" b="0"/>
                <wp:wrapNone/>
                <wp:docPr id="129" name="直接连接符 129"/>
                <wp:cNvGraphicFramePr/>
                <a:graphic xmlns:a="http://schemas.openxmlformats.org/drawingml/2006/main">
                  <a:graphicData uri="http://schemas.microsoft.com/office/word/2010/wordprocessingShape">
                    <wps:wsp>
                      <wps:cNvCnPr/>
                      <wps:spPr>
                        <a:xfrm>
                          <a:off x="0" y="0"/>
                          <a:ext cx="133985"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9.25pt;margin-top:14.35pt;height:0.05pt;width:10.55pt;mso-position-horizontal-relative:page;z-index:251683840;mso-width-relative:page;mso-height-relative:page;" filled="f" stroked="t" coordsize="21600,21600" o:gfxdata="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mXM21wAAAAkBAAAPAAAAAAAAAAEAIAAAACIAAABkcnMvZG93bnJldi54bWxQ&#10;SwECFAAUAAAACACHTuJAS66HufgBAADpAwAADgAAAAAAAAABACAAAAAmAQAAZHJzL2Uyb0RvYy54&#10;bWxQSwUGAAAAAAYABgBZAQAAkAUAAAAA&#10;">
                <v:fill on="f" focussize="0,0"/>
                <v:stroke weight="0.6pt" color="#000000" joinstyle="round"/>
                <v:imagedata o:title=""/>
                <o:lock v:ext="edit" aspectratio="f"/>
              </v:line>
            </w:pict>
          </mc:Fallback>
        </mc:AlternateContent>
      </w:r>
      <w:r>
        <w:rPr>
          <w:color w:val="000000" w:themeColor="text1"/>
          <w:highlight w:val="none"/>
          <w14:textFill>
            <w14:solidFill>
              <w14:schemeClr w14:val="tx1"/>
            </w14:solidFill>
          </w14:textFill>
        </w:rPr>
        <w:t>肢或左下肢或右下肢缺失</w:t>
      </w:r>
    </w:p>
    <w:p>
      <w:pPr>
        <w:jc w:val="center"/>
        <w:rPr>
          <w:color w:val="000000" w:themeColor="text1"/>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7"/>
        <w:rPr>
          <w:color w:val="000000" w:themeColor="text1"/>
          <w:sz w:val="14"/>
          <w:highlight w:val="none"/>
          <w:lang w:val="en-US"/>
          <w14:textFill>
            <w14:solidFill>
              <w14:schemeClr w14:val="tx1"/>
            </w14:solidFill>
          </w14:textFill>
        </w:rPr>
      </w:pPr>
    </w:p>
    <w:p>
      <w:pPr>
        <w:pStyle w:val="8"/>
        <w:tabs>
          <w:tab w:val="left" w:pos="488"/>
          <w:tab w:val="left" w:pos="908"/>
        </w:tabs>
        <w:spacing w:before="72"/>
        <w:ind w:left="65"/>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附</w:t>
      </w:r>
      <w:r>
        <w:rPr>
          <w:rFonts w:hint="eastAsia" w:ascii="黑体" w:eastAsia="黑体"/>
          <w:color w:val="000000" w:themeColor="text1"/>
          <w:highlight w:val="none"/>
          <w14:textFill>
            <w14:solidFill>
              <w14:schemeClr w14:val="tx1"/>
            </w14:solidFill>
          </w14:textFill>
        </w:rPr>
        <w:tab/>
      </w:r>
      <w:r>
        <w:rPr>
          <w:rFonts w:hint="eastAsia" w:ascii="黑体" w:eastAsia="黑体"/>
          <w:color w:val="000000" w:themeColor="text1"/>
          <w:highlight w:val="none"/>
          <w14:textFill>
            <w14:solidFill>
              <w14:schemeClr w14:val="tx1"/>
            </w14:solidFill>
          </w14:textFill>
        </w:rPr>
        <w:t>录</w:t>
      </w:r>
      <w:r>
        <w:rPr>
          <w:rFonts w:hint="eastAsia" w:ascii="黑体" w:eastAsia="黑体"/>
          <w:color w:val="000000" w:themeColor="text1"/>
          <w:highlight w:val="none"/>
          <w14:textFill>
            <w14:solidFill>
              <w14:schemeClr w14:val="tx1"/>
            </w14:solidFill>
          </w14:textFill>
        </w:rPr>
        <w:tab/>
      </w:r>
      <w:r>
        <w:rPr>
          <w:rFonts w:hint="eastAsia" w:ascii="黑体" w:eastAsia="黑体"/>
          <w:color w:val="000000" w:themeColor="text1"/>
          <w:highlight w:val="none"/>
          <w14:textFill>
            <w14:solidFill>
              <w14:schemeClr w14:val="tx1"/>
            </w14:solidFill>
          </w14:textFill>
        </w:rPr>
        <w:t>B</w:t>
      </w:r>
    </w:p>
    <w:p>
      <w:pPr>
        <w:pStyle w:val="8"/>
        <w:spacing w:before="43"/>
        <w:ind w:left="65" w:right="3"/>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（资料性目录）</w:t>
      </w:r>
    </w:p>
    <w:p>
      <w:pPr>
        <w:pStyle w:val="8"/>
        <w:spacing w:before="43" w:line="417" w:lineRule="auto"/>
        <w:ind w:left="3177" w:right="3112"/>
        <w:jc w:val="center"/>
        <w:rPr>
          <w:rFonts w:ascii="黑体" w:eastAsia="黑体"/>
          <w:color w:val="000000" w:themeColor="text1"/>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page">
                  <wp:posOffset>827405</wp:posOffset>
                </wp:positionH>
                <wp:positionV relativeFrom="paragraph">
                  <wp:posOffset>607060</wp:posOffset>
                </wp:positionV>
                <wp:extent cx="6088380" cy="7407910"/>
                <wp:effectExtent l="0" t="0" r="0" b="0"/>
                <wp:wrapNone/>
                <wp:docPr id="130" name="矩形 130"/>
                <wp:cNvGraphicFramePr/>
                <a:graphic xmlns:a="http://schemas.openxmlformats.org/drawingml/2006/main">
                  <a:graphicData uri="http://schemas.microsoft.com/office/word/2010/wordprocessingShape">
                    <wps:wsp>
                      <wps:cNvSpPr/>
                      <wps:spPr>
                        <a:xfrm>
                          <a:off x="0" y="0"/>
                          <a:ext cx="6088380" cy="7407910"/>
                        </a:xfrm>
                        <a:prstGeom prst="rect">
                          <a:avLst/>
                        </a:prstGeom>
                        <a:noFill/>
                        <a:ln w="9525">
                          <a:noFill/>
                        </a:ln>
                      </wps:spPr>
                      <wps:txbx>
                        <w:txbxContent>
                          <w:tbl>
                            <w:tblPr>
                              <w:tblStyle w:val="14"/>
                              <w:tblW w:w="95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5"/>
                              <w:gridCol w:w="2288"/>
                              <w:gridCol w:w="2429"/>
                              <w:gridCol w:w="2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285" w:type="dxa"/>
                                  <w:vAlign w:val="top"/>
                                </w:tcPr>
                                <w:p>
                                  <w:pPr>
                                    <w:pStyle w:val="24"/>
                                    <w:spacing w:before="69"/>
                                    <w:rPr>
                                      <w:sz w:val="18"/>
                                    </w:rPr>
                                  </w:pPr>
                                  <w:r>
                                    <w:rPr>
                                      <w:sz w:val="18"/>
                                    </w:rPr>
                                    <w:t>ICF 结构代码</w:t>
                                  </w:r>
                                </w:p>
                              </w:tc>
                              <w:tc>
                                <w:tcPr>
                                  <w:tcW w:w="2288" w:type="dxa"/>
                                  <w:vAlign w:val="top"/>
                                </w:tcPr>
                                <w:p>
                                  <w:pPr>
                                    <w:pStyle w:val="24"/>
                                    <w:spacing w:before="69"/>
                                    <w:ind w:left="110"/>
                                    <w:rPr>
                                      <w:sz w:val="18"/>
                                    </w:rPr>
                                  </w:pPr>
                                  <w:r>
                                    <w:rPr>
                                      <w:sz w:val="18"/>
                                    </w:rPr>
                                    <w:t>代表身体结构</w:t>
                                  </w:r>
                                </w:p>
                              </w:tc>
                              <w:tc>
                                <w:tcPr>
                                  <w:tcW w:w="2429" w:type="dxa"/>
                                  <w:vAlign w:val="top"/>
                                </w:tcPr>
                                <w:p>
                                  <w:pPr>
                                    <w:pStyle w:val="24"/>
                                    <w:spacing w:before="69"/>
                                    <w:rPr>
                                      <w:sz w:val="18"/>
                                    </w:rPr>
                                  </w:pPr>
                                  <w:r>
                                    <w:rPr>
                                      <w:sz w:val="18"/>
                                    </w:rPr>
                                    <w:t>ICF 功能代码</w:t>
                                  </w:r>
                                </w:p>
                              </w:tc>
                              <w:tc>
                                <w:tcPr>
                                  <w:tcW w:w="2571" w:type="dxa"/>
                                  <w:vAlign w:val="top"/>
                                </w:tcPr>
                                <w:p>
                                  <w:pPr>
                                    <w:pStyle w:val="24"/>
                                    <w:spacing w:before="69"/>
                                    <w:rPr>
                                      <w:sz w:val="18"/>
                                    </w:rPr>
                                  </w:pPr>
                                  <w:r>
                                    <w:rPr>
                                      <w:sz w:val="18"/>
                                    </w:rPr>
                                    <w:t>代表身体功能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85" w:type="dxa"/>
                                  <w:vAlign w:val="top"/>
                                </w:tcPr>
                                <w:p>
                                  <w:pPr>
                                    <w:pStyle w:val="24"/>
                                    <w:spacing w:before="40"/>
                                    <w:rPr>
                                      <w:sz w:val="18"/>
                                    </w:rPr>
                                  </w:pPr>
                                  <w:r>
                                    <w:rPr>
                                      <w:sz w:val="18"/>
                                    </w:rPr>
                                    <w:t>s110</w:t>
                                  </w:r>
                                </w:p>
                              </w:tc>
                              <w:tc>
                                <w:tcPr>
                                  <w:tcW w:w="2288" w:type="dxa"/>
                                  <w:vAlign w:val="top"/>
                                </w:tcPr>
                                <w:p>
                                  <w:pPr>
                                    <w:pStyle w:val="24"/>
                                    <w:spacing w:before="40"/>
                                    <w:ind w:left="110"/>
                                    <w:rPr>
                                      <w:sz w:val="18"/>
                                    </w:rPr>
                                  </w:pPr>
                                  <w:r>
                                    <w:rPr>
                                      <w:sz w:val="18"/>
                                    </w:rPr>
                                    <w:t>脑的结构</w:t>
                                  </w:r>
                                </w:p>
                              </w:tc>
                              <w:tc>
                                <w:tcPr>
                                  <w:tcW w:w="2429" w:type="dxa"/>
                                  <w:vAlign w:val="top"/>
                                </w:tcPr>
                                <w:p>
                                  <w:pPr>
                                    <w:pStyle w:val="24"/>
                                    <w:spacing w:before="40"/>
                                    <w:rPr>
                                      <w:sz w:val="18"/>
                                    </w:rPr>
                                  </w:pPr>
                                  <w:r>
                                    <w:rPr>
                                      <w:sz w:val="18"/>
                                    </w:rPr>
                                    <w:t>b110</w:t>
                                  </w:r>
                                </w:p>
                              </w:tc>
                              <w:tc>
                                <w:tcPr>
                                  <w:tcW w:w="2571" w:type="dxa"/>
                                  <w:vAlign w:val="top"/>
                                </w:tcPr>
                                <w:p>
                                  <w:pPr>
                                    <w:pStyle w:val="24"/>
                                    <w:spacing w:before="40"/>
                                    <w:rPr>
                                      <w:sz w:val="18"/>
                                    </w:rPr>
                                  </w:pPr>
                                  <w:r>
                                    <w:rPr>
                                      <w:sz w:val="18"/>
                                    </w:rPr>
                                    <w:t>意识功能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0"/>
                                    <w:ind w:left="0"/>
                                    <w:rPr>
                                      <w:rFonts w:ascii="Times New Roman"/>
                                      <w:sz w:val="18"/>
                                    </w:rPr>
                                  </w:pPr>
                                </w:p>
                              </w:tc>
                              <w:tc>
                                <w:tcPr>
                                  <w:tcW w:w="2288" w:type="dxa"/>
                                  <w:vAlign w:val="top"/>
                                </w:tcPr>
                                <w:p>
                                  <w:pPr>
                                    <w:pStyle w:val="24"/>
                                    <w:spacing w:before="0"/>
                                    <w:ind w:left="0"/>
                                    <w:rPr>
                                      <w:rFonts w:ascii="Times New Roman"/>
                                      <w:sz w:val="18"/>
                                    </w:rPr>
                                  </w:pPr>
                                </w:p>
                              </w:tc>
                              <w:tc>
                                <w:tcPr>
                                  <w:tcW w:w="2429" w:type="dxa"/>
                                  <w:vAlign w:val="top"/>
                                </w:tcPr>
                                <w:p>
                                  <w:pPr>
                                    <w:pStyle w:val="24"/>
                                    <w:spacing w:before="38"/>
                                    <w:rPr>
                                      <w:sz w:val="18"/>
                                    </w:rPr>
                                  </w:pPr>
                                  <w:r>
                                    <w:rPr>
                                      <w:sz w:val="18"/>
                                    </w:rPr>
                                    <w:t>b117</w:t>
                                  </w:r>
                                </w:p>
                              </w:tc>
                              <w:tc>
                                <w:tcPr>
                                  <w:tcW w:w="2571" w:type="dxa"/>
                                  <w:vAlign w:val="top"/>
                                </w:tcPr>
                                <w:p>
                                  <w:pPr>
                                    <w:pStyle w:val="24"/>
                                    <w:spacing w:before="38"/>
                                    <w:rPr>
                                      <w:sz w:val="18"/>
                                    </w:rPr>
                                  </w:pPr>
                                  <w:r>
                                    <w:rPr>
                                      <w:sz w:val="18"/>
                                    </w:rPr>
                                    <w:t>智力功能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0"/>
                                    <w:ind w:left="0"/>
                                    <w:rPr>
                                      <w:rFonts w:ascii="Times New Roman"/>
                                      <w:sz w:val="18"/>
                                    </w:rPr>
                                  </w:pPr>
                                </w:p>
                              </w:tc>
                              <w:tc>
                                <w:tcPr>
                                  <w:tcW w:w="2288" w:type="dxa"/>
                                  <w:vAlign w:val="top"/>
                                </w:tcPr>
                                <w:p>
                                  <w:pPr>
                                    <w:pStyle w:val="24"/>
                                    <w:spacing w:before="0"/>
                                    <w:ind w:left="0"/>
                                    <w:rPr>
                                      <w:rFonts w:ascii="Times New Roman"/>
                                      <w:sz w:val="18"/>
                                    </w:rPr>
                                  </w:pPr>
                                </w:p>
                              </w:tc>
                              <w:tc>
                                <w:tcPr>
                                  <w:tcW w:w="2429" w:type="dxa"/>
                                  <w:vAlign w:val="top"/>
                                </w:tcPr>
                                <w:p>
                                  <w:pPr>
                                    <w:pStyle w:val="24"/>
                                    <w:spacing w:before="38"/>
                                    <w:rPr>
                                      <w:sz w:val="18"/>
                                    </w:rPr>
                                  </w:pPr>
                                  <w:r>
                                    <w:rPr>
                                      <w:sz w:val="18"/>
                                    </w:rPr>
                                    <w:t>b167</w:t>
                                  </w:r>
                                </w:p>
                              </w:tc>
                              <w:tc>
                                <w:tcPr>
                                  <w:tcW w:w="2571" w:type="dxa"/>
                                  <w:vAlign w:val="top"/>
                                </w:tcPr>
                                <w:p>
                                  <w:pPr>
                                    <w:pStyle w:val="24"/>
                                    <w:spacing w:before="38"/>
                                    <w:rPr>
                                      <w:sz w:val="18"/>
                                    </w:rPr>
                                  </w:pPr>
                                  <w:r>
                                    <w:rPr>
                                      <w:sz w:val="18"/>
                                    </w:rPr>
                                    <w:t>语言精神功能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0"/>
                                    <w:ind w:left="0"/>
                                    <w:rPr>
                                      <w:rFonts w:ascii="Times New Roman"/>
                                      <w:sz w:val="18"/>
                                    </w:rPr>
                                  </w:pPr>
                                </w:p>
                              </w:tc>
                              <w:tc>
                                <w:tcPr>
                                  <w:tcW w:w="2288" w:type="dxa"/>
                                  <w:vAlign w:val="top"/>
                                </w:tcPr>
                                <w:p>
                                  <w:pPr>
                                    <w:pStyle w:val="24"/>
                                    <w:spacing w:before="0"/>
                                    <w:ind w:left="0"/>
                                    <w:rPr>
                                      <w:rFonts w:ascii="Times New Roman"/>
                                      <w:sz w:val="18"/>
                                    </w:rPr>
                                  </w:pPr>
                                </w:p>
                              </w:tc>
                              <w:tc>
                                <w:tcPr>
                                  <w:tcW w:w="2429" w:type="dxa"/>
                                  <w:vAlign w:val="top"/>
                                </w:tcPr>
                                <w:p>
                                  <w:pPr>
                                    <w:pStyle w:val="24"/>
                                    <w:spacing w:before="38"/>
                                    <w:rPr>
                                      <w:sz w:val="18"/>
                                    </w:rPr>
                                  </w:pPr>
                                  <w:r>
                                    <w:rPr>
                                      <w:sz w:val="18"/>
                                    </w:rPr>
                                    <w:t>b198</w:t>
                                  </w:r>
                                </w:p>
                              </w:tc>
                              <w:tc>
                                <w:tcPr>
                                  <w:tcW w:w="2571" w:type="dxa"/>
                                  <w:vAlign w:val="top"/>
                                </w:tcPr>
                                <w:p>
                                  <w:pPr>
                                    <w:pStyle w:val="24"/>
                                    <w:spacing w:before="38"/>
                                    <w:rPr>
                                      <w:sz w:val="18"/>
                                    </w:rPr>
                                  </w:pPr>
                                  <w:r>
                                    <w:rPr>
                                      <w:sz w:val="18"/>
                                    </w:rPr>
                                    <w:t>其他特指的精神功能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85" w:type="dxa"/>
                                  <w:vAlign w:val="top"/>
                                </w:tcPr>
                                <w:p>
                                  <w:pPr>
                                    <w:pStyle w:val="24"/>
                                    <w:spacing w:before="39"/>
                                    <w:rPr>
                                      <w:sz w:val="18"/>
                                    </w:rPr>
                                  </w:pPr>
                                  <w:r>
                                    <w:rPr>
                                      <w:sz w:val="18"/>
                                    </w:rPr>
                                    <w:t>s220</w:t>
                                  </w:r>
                                </w:p>
                              </w:tc>
                              <w:tc>
                                <w:tcPr>
                                  <w:tcW w:w="2288" w:type="dxa"/>
                                  <w:vAlign w:val="top"/>
                                </w:tcPr>
                                <w:p>
                                  <w:pPr>
                                    <w:pStyle w:val="24"/>
                                    <w:spacing w:before="39"/>
                                    <w:ind w:left="110"/>
                                    <w:rPr>
                                      <w:sz w:val="18"/>
                                    </w:rPr>
                                  </w:pPr>
                                  <w:r>
                                    <w:rPr>
                                      <w:sz w:val="18"/>
                                    </w:rPr>
                                    <w:t>眼球的结构</w:t>
                                  </w:r>
                                </w:p>
                              </w:tc>
                              <w:tc>
                                <w:tcPr>
                                  <w:tcW w:w="2429" w:type="dxa"/>
                                  <w:vAlign w:val="top"/>
                                </w:tcPr>
                                <w:p>
                                  <w:pPr>
                                    <w:pStyle w:val="24"/>
                                    <w:spacing w:before="39"/>
                                    <w:rPr>
                                      <w:sz w:val="18"/>
                                    </w:rPr>
                                  </w:pPr>
                                  <w:r>
                                    <w:rPr>
                                      <w:sz w:val="18"/>
                                    </w:rPr>
                                    <w:t>b210</w:t>
                                  </w:r>
                                </w:p>
                              </w:tc>
                              <w:tc>
                                <w:tcPr>
                                  <w:tcW w:w="2571" w:type="dxa"/>
                                  <w:vAlign w:val="top"/>
                                </w:tcPr>
                                <w:p>
                                  <w:pPr>
                                    <w:pStyle w:val="24"/>
                                    <w:spacing w:before="39"/>
                                    <w:rPr>
                                      <w:sz w:val="18"/>
                                    </w:rPr>
                                  </w:pPr>
                                  <w:r>
                                    <w:rPr>
                                      <w:sz w:val="18"/>
                                    </w:rPr>
                                    <w:t>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s2204</w:t>
                                  </w:r>
                                </w:p>
                              </w:tc>
                              <w:tc>
                                <w:tcPr>
                                  <w:tcW w:w="2288" w:type="dxa"/>
                                  <w:vAlign w:val="top"/>
                                </w:tcPr>
                                <w:p>
                                  <w:pPr>
                                    <w:pStyle w:val="24"/>
                                    <w:spacing w:before="38"/>
                                    <w:ind w:left="110"/>
                                    <w:rPr>
                                      <w:sz w:val="18"/>
                                    </w:rPr>
                                  </w:pPr>
                                  <w:r>
                                    <w:rPr>
                                      <w:sz w:val="18"/>
                                    </w:rPr>
                                    <w:t>眼球的晶状体</w:t>
                                  </w:r>
                                </w:p>
                              </w:tc>
                              <w:tc>
                                <w:tcPr>
                                  <w:tcW w:w="2429" w:type="dxa"/>
                                  <w:vAlign w:val="top"/>
                                </w:tcPr>
                                <w:p>
                                  <w:pPr>
                                    <w:pStyle w:val="24"/>
                                    <w:spacing w:before="38"/>
                                    <w:rPr>
                                      <w:sz w:val="18"/>
                                    </w:rPr>
                                  </w:pPr>
                                  <w:r>
                                    <w:rPr>
                                      <w:sz w:val="18"/>
                                    </w:rPr>
                                    <w:t>b2101</w:t>
                                  </w:r>
                                </w:p>
                              </w:tc>
                              <w:tc>
                                <w:tcPr>
                                  <w:tcW w:w="2571" w:type="dxa"/>
                                  <w:vAlign w:val="top"/>
                                </w:tcPr>
                                <w:p>
                                  <w:pPr>
                                    <w:pStyle w:val="24"/>
                                    <w:spacing w:before="38"/>
                                    <w:rPr>
                                      <w:sz w:val="18"/>
                                    </w:rPr>
                                  </w:pPr>
                                  <w:r>
                                    <w:rPr>
                                      <w:sz w:val="18"/>
                                    </w:rPr>
                                    <w:t>视野功能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285" w:type="dxa"/>
                                  <w:vAlign w:val="top"/>
                                </w:tcPr>
                                <w:p>
                                  <w:pPr>
                                    <w:pStyle w:val="24"/>
                                    <w:spacing w:before="40"/>
                                    <w:rPr>
                                      <w:sz w:val="18"/>
                                    </w:rPr>
                                  </w:pPr>
                                  <w:r>
                                    <w:rPr>
                                      <w:sz w:val="18"/>
                                    </w:rPr>
                                    <w:t>s2301</w:t>
                                  </w:r>
                                </w:p>
                              </w:tc>
                              <w:tc>
                                <w:tcPr>
                                  <w:tcW w:w="2288" w:type="dxa"/>
                                  <w:vAlign w:val="top"/>
                                </w:tcPr>
                                <w:p>
                                  <w:pPr>
                                    <w:pStyle w:val="24"/>
                                    <w:spacing w:before="40"/>
                                    <w:ind w:left="110"/>
                                    <w:rPr>
                                      <w:sz w:val="18"/>
                                    </w:rPr>
                                  </w:pPr>
                                  <w:r>
                                    <w:rPr>
                                      <w:sz w:val="18"/>
                                    </w:rPr>
                                    <w:t>眼睑</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s240</w:t>
                                  </w:r>
                                </w:p>
                              </w:tc>
                              <w:tc>
                                <w:tcPr>
                                  <w:tcW w:w="2288" w:type="dxa"/>
                                  <w:vAlign w:val="top"/>
                                </w:tcPr>
                                <w:p>
                                  <w:pPr>
                                    <w:pStyle w:val="24"/>
                                    <w:spacing w:before="38"/>
                                    <w:ind w:left="110"/>
                                    <w:rPr>
                                      <w:sz w:val="18"/>
                                    </w:rPr>
                                  </w:pPr>
                                  <w:r>
                                    <w:rPr>
                                      <w:sz w:val="18"/>
                                    </w:rPr>
                                    <w:t>外耳的结构</w:t>
                                  </w:r>
                                </w:p>
                              </w:tc>
                              <w:tc>
                                <w:tcPr>
                                  <w:tcW w:w="2429" w:type="dxa"/>
                                  <w:vAlign w:val="top"/>
                                </w:tcPr>
                                <w:p>
                                  <w:pPr>
                                    <w:pStyle w:val="24"/>
                                    <w:spacing w:before="38"/>
                                    <w:rPr>
                                      <w:sz w:val="18"/>
                                    </w:rPr>
                                  </w:pPr>
                                  <w:r>
                                    <w:rPr>
                                      <w:sz w:val="18"/>
                                    </w:rPr>
                                    <w:t>b230</w:t>
                                  </w:r>
                                </w:p>
                              </w:tc>
                              <w:tc>
                                <w:tcPr>
                                  <w:tcW w:w="2571" w:type="dxa"/>
                                  <w:vAlign w:val="top"/>
                                </w:tcPr>
                                <w:p>
                                  <w:pPr>
                                    <w:pStyle w:val="24"/>
                                    <w:spacing w:before="38"/>
                                    <w:rPr>
                                      <w:sz w:val="18"/>
                                    </w:rPr>
                                  </w:pPr>
                                  <w:r>
                                    <w:rPr>
                                      <w:sz w:val="18"/>
                                    </w:rPr>
                                    <w:t>听功能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s3100</w:t>
                                  </w:r>
                                </w:p>
                              </w:tc>
                              <w:tc>
                                <w:tcPr>
                                  <w:tcW w:w="2288" w:type="dxa"/>
                                  <w:vAlign w:val="top"/>
                                </w:tcPr>
                                <w:p>
                                  <w:pPr>
                                    <w:pStyle w:val="24"/>
                                    <w:spacing w:before="38"/>
                                    <w:ind w:left="110"/>
                                    <w:rPr>
                                      <w:sz w:val="18"/>
                                    </w:rPr>
                                  </w:pPr>
                                  <w:r>
                                    <w:rPr>
                                      <w:sz w:val="18"/>
                                    </w:rPr>
                                    <w:t>外鼻</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s3100A</w:t>
                                  </w:r>
                                </w:p>
                              </w:tc>
                              <w:tc>
                                <w:tcPr>
                                  <w:tcW w:w="2288" w:type="dxa"/>
                                  <w:vAlign w:val="top"/>
                                </w:tcPr>
                                <w:p>
                                  <w:pPr>
                                    <w:pStyle w:val="24"/>
                                    <w:spacing w:before="38"/>
                                    <w:ind w:left="110"/>
                                    <w:rPr>
                                      <w:sz w:val="18"/>
                                    </w:rPr>
                                  </w:pPr>
                                  <w:r>
                                    <w:rPr>
                                      <w:sz w:val="18"/>
                                    </w:rPr>
                                    <w:t>鼻翼</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s3108A</w:t>
                                  </w:r>
                                </w:p>
                              </w:tc>
                              <w:tc>
                                <w:tcPr>
                                  <w:tcW w:w="2288" w:type="dxa"/>
                                  <w:vAlign w:val="top"/>
                                </w:tcPr>
                                <w:p>
                                  <w:pPr>
                                    <w:pStyle w:val="24"/>
                                    <w:spacing w:before="38"/>
                                    <w:ind w:left="110"/>
                                    <w:rPr>
                                      <w:sz w:val="18"/>
                                    </w:rPr>
                                  </w:pPr>
                                  <w:r>
                                    <w:rPr>
                                      <w:sz w:val="18"/>
                                    </w:rPr>
                                    <w:t>鼻孔</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s3108B</w:t>
                                  </w:r>
                                </w:p>
                              </w:tc>
                              <w:tc>
                                <w:tcPr>
                                  <w:tcW w:w="2288" w:type="dxa"/>
                                  <w:vAlign w:val="top"/>
                                </w:tcPr>
                                <w:p>
                                  <w:pPr>
                                    <w:pStyle w:val="24"/>
                                    <w:spacing w:before="38"/>
                                    <w:ind w:left="110"/>
                                    <w:rPr>
                                      <w:sz w:val="18"/>
                                    </w:rPr>
                                  </w:pPr>
                                  <w:r>
                                    <w:rPr>
                                      <w:sz w:val="18"/>
                                    </w:rPr>
                                    <w:t>鼻腔</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285" w:type="dxa"/>
                                  <w:vAlign w:val="top"/>
                                </w:tcPr>
                                <w:p>
                                  <w:pPr>
                                    <w:pStyle w:val="24"/>
                                    <w:spacing w:before="40"/>
                                    <w:rPr>
                                      <w:sz w:val="18"/>
                                    </w:rPr>
                                  </w:pPr>
                                  <w:r>
                                    <w:rPr>
                                      <w:sz w:val="18"/>
                                    </w:rPr>
                                    <w:t>s3200</w:t>
                                  </w:r>
                                </w:p>
                              </w:tc>
                              <w:tc>
                                <w:tcPr>
                                  <w:tcW w:w="2288" w:type="dxa"/>
                                  <w:vAlign w:val="top"/>
                                </w:tcPr>
                                <w:p>
                                  <w:pPr>
                                    <w:pStyle w:val="24"/>
                                    <w:spacing w:before="40"/>
                                    <w:ind w:left="110"/>
                                    <w:rPr>
                                      <w:sz w:val="18"/>
                                    </w:rPr>
                                  </w:pPr>
                                  <w:r>
                                    <w:rPr>
                                      <w:sz w:val="18"/>
                                    </w:rPr>
                                    <w:t>牙齿</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s3203</w:t>
                                  </w:r>
                                </w:p>
                              </w:tc>
                              <w:tc>
                                <w:tcPr>
                                  <w:tcW w:w="2288" w:type="dxa"/>
                                  <w:vAlign w:val="top"/>
                                </w:tcPr>
                                <w:p>
                                  <w:pPr>
                                    <w:pStyle w:val="24"/>
                                    <w:spacing w:before="38"/>
                                    <w:ind w:left="110"/>
                                    <w:rPr>
                                      <w:sz w:val="18"/>
                                    </w:rPr>
                                  </w:pPr>
                                  <w:r>
                                    <w:rPr>
                                      <w:sz w:val="18"/>
                                    </w:rPr>
                                    <w:t>舌</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s3300</w:t>
                                  </w:r>
                                </w:p>
                              </w:tc>
                              <w:tc>
                                <w:tcPr>
                                  <w:tcW w:w="2288" w:type="dxa"/>
                                  <w:vAlign w:val="top"/>
                                </w:tcPr>
                                <w:p>
                                  <w:pPr>
                                    <w:pStyle w:val="24"/>
                                    <w:spacing w:before="38"/>
                                    <w:ind w:left="110"/>
                                    <w:rPr>
                                      <w:sz w:val="18"/>
                                    </w:rPr>
                                  </w:pPr>
                                  <w:r>
                                    <w:rPr>
                                      <w:sz w:val="18"/>
                                    </w:rPr>
                                    <w:t>鼻咽</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s3400</w:t>
                                  </w:r>
                                </w:p>
                              </w:tc>
                              <w:tc>
                                <w:tcPr>
                                  <w:tcW w:w="2288" w:type="dxa"/>
                                  <w:vAlign w:val="top"/>
                                </w:tcPr>
                                <w:p>
                                  <w:pPr>
                                    <w:pStyle w:val="24"/>
                                    <w:spacing w:before="38"/>
                                    <w:ind w:left="110"/>
                                    <w:rPr>
                                      <w:sz w:val="18"/>
                                    </w:rPr>
                                  </w:pPr>
                                  <w:r>
                                    <w:rPr>
                                      <w:sz w:val="18"/>
                                    </w:rPr>
                                    <w:t>声带</w:t>
                                  </w:r>
                                </w:p>
                              </w:tc>
                              <w:tc>
                                <w:tcPr>
                                  <w:tcW w:w="2429" w:type="dxa"/>
                                  <w:vAlign w:val="top"/>
                                </w:tcPr>
                                <w:p>
                                  <w:pPr>
                                    <w:pStyle w:val="24"/>
                                    <w:spacing w:before="38"/>
                                    <w:rPr>
                                      <w:sz w:val="18"/>
                                    </w:rPr>
                                  </w:pPr>
                                  <w:r>
                                    <w:rPr>
                                      <w:sz w:val="18"/>
                                    </w:rPr>
                                    <w:t>b399</w:t>
                                  </w:r>
                                </w:p>
                              </w:tc>
                              <w:tc>
                                <w:tcPr>
                                  <w:tcW w:w="2571" w:type="dxa"/>
                                  <w:vAlign w:val="top"/>
                                </w:tcPr>
                                <w:p>
                                  <w:pPr>
                                    <w:pStyle w:val="24"/>
                                    <w:spacing w:before="38"/>
                                    <w:rPr>
                                      <w:sz w:val="18"/>
                                    </w:rPr>
                                  </w:pPr>
                                  <w:r>
                                    <w:rPr>
                                      <w:sz w:val="18"/>
                                    </w:rPr>
                                    <w:t>发声和言语功能，未特指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s4100</w:t>
                                  </w:r>
                                </w:p>
                              </w:tc>
                              <w:tc>
                                <w:tcPr>
                                  <w:tcW w:w="2288" w:type="dxa"/>
                                  <w:vAlign w:val="top"/>
                                </w:tcPr>
                                <w:p>
                                  <w:pPr>
                                    <w:pStyle w:val="24"/>
                                    <w:spacing w:before="38"/>
                                    <w:ind w:left="110"/>
                                    <w:rPr>
                                      <w:sz w:val="18"/>
                                    </w:rPr>
                                  </w:pPr>
                                  <w:r>
                                    <w:rPr>
                                      <w:sz w:val="18"/>
                                    </w:rPr>
                                    <w:t>心脏</w:t>
                                  </w:r>
                                </w:p>
                              </w:tc>
                              <w:tc>
                                <w:tcPr>
                                  <w:tcW w:w="2429" w:type="dxa"/>
                                  <w:vAlign w:val="top"/>
                                </w:tcPr>
                                <w:p>
                                  <w:pPr>
                                    <w:pStyle w:val="24"/>
                                    <w:spacing w:before="38"/>
                                    <w:rPr>
                                      <w:sz w:val="18"/>
                                    </w:rPr>
                                  </w:pPr>
                                  <w:r>
                                    <w:rPr>
                                      <w:sz w:val="18"/>
                                    </w:rPr>
                                    <w:t>b410</w:t>
                                  </w:r>
                                </w:p>
                              </w:tc>
                              <w:tc>
                                <w:tcPr>
                                  <w:tcW w:w="2571" w:type="dxa"/>
                                  <w:vAlign w:val="top"/>
                                </w:tcPr>
                                <w:p>
                                  <w:pPr>
                                    <w:pStyle w:val="24"/>
                                    <w:spacing w:before="38"/>
                                    <w:rPr>
                                      <w:sz w:val="18"/>
                                    </w:rPr>
                                  </w:pPr>
                                  <w:r>
                                    <w:rPr>
                                      <w:sz w:val="18"/>
                                    </w:rPr>
                                    <w:t>心脏功能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s41008</w:t>
                                  </w:r>
                                </w:p>
                              </w:tc>
                              <w:tc>
                                <w:tcPr>
                                  <w:tcW w:w="2288" w:type="dxa"/>
                                  <w:vAlign w:val="top"/>
                                </w:tcPr>
                                <w:p>
                                  <w:pPr>
                                    <w:pStyle w:val="24"/>
                                    <w:spacing w:before="38"/>
                                    <w:ind w:left="110"/>
                                    <w:rPr>
                                      <w:sz w:val="18"/>
                                    </w:rPr>
                                  </w:pPr>
                                  <w:r>
                                    <w:rPr>
                                      <w:sz w:val="18"/>
                                    </w:rPr>
                                    <w:t>特指心肌</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285" w:type="dxa"/>
                                  <w:vAlign w:val="top"/>
                                </w:tcPr>
                                <w:p>
                                  <w:pPr>
                                    <w:pStyle w:val="24"/>
                                    <w:spacing w:before="40"/>
                                    <w:rPr>
                                      <w:sz w:val="18"/>
                                    </w:rPr>
                                  </w:pPr>
                                  <w:r>
                                    <w:rPr>
                                      <w:sz w:val="18"/>
                                    </w:rPr>
                                    <w:t>s4203</w:t>
                                  </w:r>
                                </w:p>
                              </w:tc>
                              <w:tc>
                                <w:tcPr>
                                  <w:tcW w:w="2288" w:type="dxa"/>
                                  <w:vAlign w:val="top"/>
                                </w:tcPr>
                                <w:p>
                                  <w:pPr>
                                    <w:pStyle w:val="24"/>
                                    <w:spacing w:before="40"/>
                                    <w:ind w:left="110"/>
                                    <w:rPr>
                                      <w:sz w:val="18"/>
                                    </w:rPr>
                                  </w:pPr>
                                  <w:r>
                                    <w:rPr>
                                      <w:sz w:val="18"/>
                                    </w:rPr>
                                    <w:t>脾</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s4301</w:t>
                                  </w:r>
                                </w:p>
                              </w:tc>
                              <w:tc>
                                <w:tcPr>
                                  <w:tcW w:w="2288" w:type="dxa"/>
                                  <w:vAlign w:val="top"/>
                                </w:tcPr>
                                <w:p>
                                  <w:pPr>
                                    <w:pStyle w:val="24"/>
                                    <w:spacing w:before="38"/>
                                    <w:ind w:left="110"/>
                                    <w:rPr>
                                      <w:sz w:val="18"/>
                                    </w:rPr>
                                  </w:pPr>
                                  <w:r>
                                    <w:rPr>
                                      <w:sz w:val="18"/>
                                    </w:rPr>
                                    <w:t>肺</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s43018A</w:t>
                                  </w:r>
                                </w:p>
                              </w:tc>
                              <w:tc>
                                <w:tcPr>
                                  <w:tcW w:w="2288" w:type="dxa"/>
                                  <w:vAlign w:val="top"/>
                                </w:tcPr>
                                <w:p>
                                  <w:pPr>
                                    <w:pStyle w:val="24"/>
                                    <w:spacing w:before="38"/>
                                    <w:ind w:left="110"/>
                                    <w:rPr>
                                      <w:sz w:val="18"/>
                                    </w:rPr>
                                  </w:pPr>
                                  <w:r>
                                    <w:rPr>
                                      <w:sz w:val="18"/>
                                    </w:rPr>
                                    <w:t>肺叶</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s4302A</w:t>
                                  </w:r>
                                </w:p>
                              </w:tc>
                              <w:tc>
                                <w:tcPr>
                                  <w:tcW w:w="2288" w:type="dxa"/>
                                  <w:vAlign w:val="top"/>
                                </w:tcPr>
                                <w:p>
                                  <w:pPr>
                                    <w:pStyle w:val="24"/>
                                    <w:spacing w:before="38"/>
                                    <w:ind w:left="110"/>
                                    <w:rPr>
                                      <w:sz w:val="18"/>
                                    </w:rPr>
                                  </w:pPr>
                                  <w:r>
                                    <w:rPr>
                                      <w:sz w:val="18"/>
                                    </w:rPr>
                                    <w:t>肋骨</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s530</w:t>
                                  </w:r>
                                </w:p>
                              </w:tc>
                              <w:tc>
                                <w:tcPr>
                                  <w:tcW w:w="2288" w:type="dxa"/>
                                  <w:vAlign w:val="top"/>
                                </w:tcPr>
                                <w:p>
                                  <w:pPr>
                                    <w:pStyle w:val="24"/>
                                    <w:spacing w:before="38"/>
                                    <w:ind w:left="110"/>
                                    <w:rPr>
                                      <w:sz w:val="18"/>
                                    </w:rPr>
                                  </w:pPr>
                                  <w:r>
                                    <w:rPr>
                                      <w:sz w:val="18"/>
                                    </w:rPr>
                                    <w:t>胃的结构</w:t>
                                  </w:r>
                                </w:p>
                              </w:tc>
                              <w:tc>
                                <w:tcPr>
                                  <w:tcW w:w="2429" w:type="dxa"/>
                                  <w:vAlign w:val="top"/>
                                </w:tcPr>
                                <w:p>
                                  <w:pPr>
                                    <w:pStyle w:val="24"/>
                                    <w:spacing w:before="38"/>
                                    <w:rPr>
                                      <w:sz w:val="18"/>
                                    </w:rPr>
                                  </w:pPr>
                                  <w:r>
                                    <w:rPr>
                                      <w:sz w:val="18"/>
                                    </w:rPr>
                                    <w:t>b5102</w:t>
                                  </w:r>
                                </w:p>
                              </w:tc>
                              <w:tc>
                                <w:tcPr>
                                  <w:tcW w:w="2571" w:type="dxa"/>
                                  <w:vAlign w:val="top"/>
                                </w:tcPr>
                                <w:p>
                                  <w:pPr>
                                    <w:pStyle w:val="24"/>
                                    <w:spacing w:before="38"/>
                                    <w:rPr>
                                      <w:sz w:val="18"/>
                                    </w:rPr>
                                  </w:pPr>
                                  <w:r>
                                    <w:rPr>
                                      <w:sz w:val="18"/>
                                    </w:rPr>
                                    <w:t>咀嚼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s5400</w:t>
                                  </w:r>
                                </w:p>
                              </w:tc>
                              <w:tc>
                                <w:tcPr>
                                  <w:tcW w:w="2288" w:type="dxa"/>
                                  <w:vAlign w:val="top"/>
                                </w:tcPr>
                                <w:p>
                                  <w:pPr>
                                    <w:pStyle w:val="24"/>
                                    <w:spacing w:before="38"/>
                                    <w:ind w:left="110"/>
                                    <w:rPr>
                                      <w:sz w:val="18"/>
                                    </w:rPr>
                                  </w:pPr>
                                  <w:r>
                                    <w:rPr>
                                      <w:sz w:val="18"/>
                                    </w:rPr>
                                    <w:t>小肠</w:t>
                                  </w:r>
                                </w:p>
                              </w:tc>
                              <w:tc>
                                <w:tcPr>
                                  <w:tcW w:w="2429" w:type="dxa"/>
                                  <w:vAlign w:val="top"/>
                                </w:tcPr>
                                <w:p>
                                  <w:pPr>
                                    <w:pStyle w:val="24"/>
                                    <w:spacing w:before="38"/>
                                    <w:rPr>
                                      <w:sz w:val="18"/>
                                    </w:rPr>
                                  </w:pPr>
                                  <w:r>
                                    <w:rPr>
                                      <w:sz w:val="18"/>
                                    </w:rPr>
                                    <w:t>b5105</w:t>
                                  </w:r>
                                </w:p>
                              </w:tc>
                              <w:tc>
                                <w:tcPr>
                                  <w:tcW w:w="2571" w:type="dxa"/>
                                  <w:vAlign w:val="top"/>
                                </w:tcPr>
                                <w:p>
                                  <w:pPr>
                                    <w:pStyle w:val="24"/>
                                    <w:spacing w:before="38"/>
                                    <w:rPr>
                                      <w:sz w:val="18"/>
                                    </w:rPr>
                                  </w:pPr>
                                  <w:r>
                                    <w:rPr>
                                      <w:sz w:val="18"/>
                                    </w:rPr>
                                    <w:t>吞咽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85" w:type="dxa"/>
                                  <w:vAlign w:val="top"/>
                                </w:tcPr>
                                <w:p>
                                  <w:pPr>
                                    <w:pStyle w:val="24"/>
                                    <w:spacing w:before="40"/>
                                    <w:rPr>
                                      <w:sz w:val="18"/>
                                    </w:rPr>
                                  </w:pPr>
                                  <w:r>
                                    <w:rPr>
                                      <w:sz w:val="18"/>
                                    </w:rPr>
                                    <w:t>s5400A</w:t>
                                  </w:r>
                                </w:p>
                              </w:tc>
                              <w:tc>
                                <w:tcPr>
                                  <w:tcW w:w="2288" w:type="dxa"/>
                                  <w:vAlign w:val="top"/>
                                </w:tcPr>
                                <w:p>
                                  <w:pPr>
                                    <w:pStyle w:val="24"/>
                                    <w:spacing w:before="40"/>
                                    <w:ind w:left="110"/>
                                    <w:rPr>
                                      <w:sz w:val="18"/>
                                    </w:rPr>
                                  </w:pPr>
                                  <w:r>
                                    <w:rPr>
                                      <w:sz w:val="18"/>
                                    </w:rPr>
                                    <w:t>十二指肠</w:t>
                                  </w:r>
                                </w:p>
                              </w:tc>
                              <w:tc>
                                <w:tcPr>
                                  <w:tcW w:w="2429" w:type="dxa"/>
                                  <w:vAlign w:val="top"/>
                                </w:tcPr>
                                <w:p>
                                  <w:pPr>
                                    <w:pStyle w:val="24"/>
                                    <w:spacing w:before="40"/>
                                    <w:rPr>
                                      <w:sz w:val="18"/>
                                    </w:rPr>
                                  </w:pPr>
                                  <w:r>
                                    <w:rPr>
                                      <w:sz w:val="18"/>
                                    </w:rPr>
                                    <w:t>b5152</w:t>
                                  </w:r>
                                </w:p>
                              </w:tc>
                              <w:tc>
                                <w:tcPr>
                                  <w:tcW w:w="2571" w:type="dxa"/>
                                  <w:vAlign w:val="top"/>
                                </w:tcPr>
                                <w:p>
                                  <w:pPr>
                                    <w:pStyle w:val="24"/>
                                    <w:spacing w:before="40"/>
                                    <w:rPr>
                                      <w:sz w:val="18"/>
                                    </w:rPr>
                                  </w:pPr>
                                  <w:r>
                                    <w:rPr>
                                      <w:sz w:val="18"/>
                                    </w:rPr>
                                    <w:t>吸收养分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85" w:type="dxa"/>
                                  <w:vAlign w:val="top"/>
                                </w:tcPr>
                                <w:p>
                                  <w:pPr>
                                    <w:pStyle w:val="24"/>
                                    <w:spacing w:before="38"/>
                                    <w:rPr>
                                      <w:sz w:val="18"/>
                                    </w:rPr>
                                  </w:pPr>
                                  <w:r>
                                    <w:rPr>
                                      <w:sz w:val="18"/>
                                    </w:rPr>
                                    <w:t>s5400C</w:t>
                                  </w:r>
                                </w:p>
                              </w:tc>
                              <w:tc>
                                <w:tcPr>
                                  <w:tcW w:w="2288" w:type="dxa"/>
                                  <w:vAlign w:val="top"/>
                                </w:tcPr>
                                <w:p>
                                  <w:pPr>
                                    <w:pStyle w:val="24"/>
                                    <w:spacing w:before="38"/>
                                    <w:ind w:left="110"/>
                                    <w:rPr>
                                      <w:sz w:val="18"/>
                                    </w:rPr>
                                  </w:pPr>
                                  <w:r>
                                    <w:rPr>
                                      <w:sz w:val="18"/>
                                    </w:rPr>
                                    <w:t>回肠</w:t>
                                  </w:r>
                                </w:p>
                              </w:tc>
                              <w:tc>
                                <w:tcPr>
                                  <w:tcW w:w="2429" w:type="dxa"/>
                                  <w:vAlign w:val="top"/>
                                </w:tcPr>
                                <w:p>
                                  <w:pPr>
                                    <w:pStyle w:val="24"/>
                                    <w:spacing w:before="38"/>
                                    <w:rPr>
                                      <w:sz w:val="18"/>
                                    </w:rPr>
                                  </w:pPr>
                                  <w:r>
                                    <w:rPr>
                                      <w:sz w:val="18"/>
                                    </w:rPr>
                                    <w:t>b525</w:t>
                                  </w:r>
                                </w:p>
                              </w:tc>
                              <w:tc>
                                <w:tcPr>
                                  <w:tcW w:w="2571" w:type="dxa"/>
                                  <w:vAlign w:val="top"/>
                                </w:tcPr>
                                <w:p>
                                  <w:pPr>
                                    <w:pStyle w:val="24"/>
                                    <w:spacing w:before="38"/>
                                    <w:rPr>
                                      <w:sz w:val="18"/>
                                    </w:rPr>
                                  </w:pPr>
                                  <w:r>
                                    <w:rPr>
                                      <w:sz w:val="18"/>
                                    </w:rPr>
                                    <w:t>排便功能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s5401</w:t>
                                  </w:r>
                                </w:p>
                              </w:tc>
                              <w:tc>
                                <w:tcPr>
                                  <w:tcW w:w="2288" w:type="dxa"/>
                                  <w:vAlign w:val="top"/>
                                </w:tcPr>
                                <w:p>
                                  <w:pPr>
                                    <w:pStyle w:val="24"/>
                                    <w:spacing w:before="38"/>
                                    <w:ind w:left="110"/>
                                    <w:rPr>
                                      <w:sz w:val="18"/>
                                    </w:rPr>
                                  </w:pPr>
                                  <w:r>
                                    <w:rPr>
                                      <w:sz w:val="18"/>
                                    </w:rPr>
                                    <w:t>大肠</w:t>
                                  </w:r>
                                </w:p>
                              </w:tc>
                              <w:tc>
                                <w:tcPr>
                                  <w:tcW w:w="2429" w:type="dxa"/>
                                  <w:vAlign w:val="top"/>
                                </w:tcPr>
                                <w:p>
                                  <w:pPr>
                                    <w:pStyle w:val="24"/>
                                    <w:spacing w:before="38"/>
                                    <w:rPr>
                                      <w:sz w:val="18"/>
                                    </w:rPr>
                                  </w:pPr>
                                  <w:r>
                                    <w:rPr>
                                      <w:sz w:val="18"/>
                                    </w:rPr>
                                    <w:t>b5408</w:t>
                                  </w:r>
                                </w:p>
                              </w:tc>
                              <w:tc>
                                <w:tcPr>
                                  <w:tcW w:w="2571" w:type="dxa"/>
                                  <w:vAlign w:val="top"/>
                                </w:tcPr>
                                <w:p>
                                  <w:pPr>
                                    <w:pStyle w:val="24"/>
                                    <w:spacing w:before="38"/>
                                    <w:rPr>
                                      <w:sz w:val="18"/>
                                    </w:rPr>
                                  </w:pPr>
                                  <w:r>
                                    <w:rPr>
                                      <w:sz w:val="18"/>
                                    </w:rPr>
                                    <w:t>其他特指的一般代谢功能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s5401A</w:t>
                                  </w:r>
                                </w:p>
                              </w:tc>
                              <w:tc>
                                <w:tcPr>
                                  <w:tcW w:w="2288" w:type="dxa"/>
                                  <w:vAlign w:val="top"/>
                                </w:tcPr>
                                <w:p>
                                  <w:pPr>
                                    <w:pStyle w:val="24"/>
                                    <w:spacing w:before="38"/>
                                    <w:ind w:left="110"/>
                                    <w:rPr>
                                      <w:sz w:val="18"/>
                                    </w:rPr>
                                  </w:pPr>
                                  <w:r>
                                    <w:rPr>
                                      <w:sz w:val="18"/>
                                    </w:rPr>
                                    <w:t>结肠</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s5401B</w:t>
                                  </w:r>
                                </w:p>
                              </w:tc>
                              <w:tc>
                                <w:tcPr>
                                  <w:tcW w:w="2288" w:type="dxa"/>
                                  <w:vAlign w:val="top"/>
                                </w:tcPr>
                                <w:p>
                                  <w:pPr>
                                    <w:pStyle w:val="24"/>
                                    <w:spacing w:before="38"/>
                                    <w:ind w:left="110"/>
                                    <w:rPr>
                                      <w:sz w:val="18"/>
                                    </w:rPr>
                                  </w:pPr>
                                  <w:r>
                                    <w:rPr>
                                      <w:sz w:val="18"/>
                                    </w:rPr>
                                    <w:t>直肠</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s5408A</w:t>
                                  </w:r>
                                </w:p>
                              </w:tc>
                              <w:tc>
                                <w:tcPr>
                                  <w:tcW w:w="2288" w:type="dxa"/>
                                  <w:vAlign w:val="top"/>
                                </w:tcPr>
                                <w:p>
                                  <w:pPr>
                                    <w:pStyle w:val="24"/>
                                    <w:spacing w:before="38"/>
                                    <w:ind w:left="110"/>
                                    <w:rPr>
                                      <w:sz w:val="18"/>
                                    </w:rPr>
                                  </w:pPr>
                                  <w:r>
                                    <w:rPr>
                                      <w:sz w:val="18"/>
                                    </w:rPr>
                                    <w:t>盲肠</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85" w:type="dxa"/>
                                  <w:vAlign w:val="top"/>
                                </w:tcPr>
                                <w:p>
                                  <w:pPr>
                                    <w:pStyle w:val="24"/>
                                    <w:spacing w:before="40"/>
                                    <w:rPr>
                                      <w:sz w:val="18"/>
                                    </w:rPr>
                                  </w:pPr>
                                  <w:r>
                                    <w:rPr>
                                      <w:sz w:val="18"/>
                                    </w:rPr>
                                    <w:t>s550</w:t>
                                  </w:r>
                                </w:p>
                              </w:tc>
                              <w:tc>
                                <w:tcPr>
                                  <w:tcW w:w="2288" w:type="dxa"/>
                                  <w:vAlign w:val="top"/>
                                </w:tcPr>
                                <w:p>
                                  <w:pPr>
                                    <w:pStyle w:val="24"/>
                                    <w:spacing w:before="40"/>
                                    <w:ind w:left="110"/>
                                    <w:rPr>
                                      <w:sz w:val="18"/>
                                    </w:rPr>
                                  </w:pPr>
                                  <w:r>
                                    <w:rPr>
                                      <w:sz w:val="18"/>
                                    </w:rPr>
                                    <w:t>胰的结构</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ICF 结构代码</w:t>
                                  </w:r>
                                </w:p>
                              </w:tc>
                              <w:tc>
                                <w:tcPr>
                                  <w:tcW w:w="2288" w:type="dxa"/>
                                  <w:vAlign w:val="top"/>
                                </w:tcPr>
                                <w:p>
                                  <w:pPr>
                                    <w:pStyle w:val="24"/>
                                    <w:spacing w:before="38"/>
                                    <w:ind w:left="110"/>
                                    <w:rPr>
                                      <w:sz w:val="18"/>
                                    </w:rPr>
                                  </w:pPr>
                                  <w:r>
                                    <w:rPr>
                                      <w:sz w:val="18"/>
                                    </w:rPr>
                                    <w:t>代表身体结构</w:t>
                                  </w:r>
                                </w:p>
                              </w:tc>
                              <w:tc>
                                <w:tcPr>
                                  <w:tcW w:w="2429" w:type="dxa"/>
                                  <w:vAlign w:val="top"/>
                                </w:tcPr>
                                <w:p>
                                  <w:pPr>
                                    <w:pStyle w:val="24"/>
                                    <w:spacing w:before="38"/>
                                    <w:rPr>
                                      <w:sz w:val="18"/>
                                    </w:rPr>
                                  </w:pPr>
                                  <w:r>
                                    <w:rPr>
                                      <w:sz w:val="18"/>
                                    </w:rPr>
                                    <w:t>ICF 功能代码</w:t>
                                  </w:r>
                                </w:p>
                              </w:tc>
                              <w:tc>
                                <w:tcPr>
                                  <w:tcW w:w="2571" w:type="dxa"/>
                                  <w:vAlign w:val="top"/>
                                </w:tcPr>
                                <w:p>
                                  <w:pPr>
                                    <w:pStyle w:val="24"/>
                                    <w:spacing w:before="38"/>
                                    <w:rPr>
                                      <w:sz w:val="18"/>
                                    </w:rPr>
                                  </w:pPr>
                                  <w:r>
                                    <w:rPr>
                                      <w:sz w:val="18"/>
                                    </w:rPr>
                                    <w:t>代表身体功能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s560</w:t>
                                  </w:r>
                                </w:p>
                              </w:tc>
                              <w:tc>
                                <w:tcPr>
                                  <w:tcW w:w="2288" w:type="dxa"/>
                                  <w:vAlign w:val="top"/>
                                </w:tcPr>
                                <w:p>
                                  <w:pPr>
                                    <w:pStyle w:val="24"/>
                                    <w:spacing w:before="38"/>
                                    <w:ind w:left="110"/>
                                    <w:rPr>
                                      <w:sz w:val="18"/>
                                    </w:rPr>
                                  </w:pPr>
                                  <w:r>
                                    <w:rPr>
                                      <w:sz w:val="18"/>
                                    </w:rPr>
                                    <w:t>肝的结构</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s598A</w:t>
                                  </w:r>
                                </w:p>
                              </w:tc>
                              <w:tc>
                                <w:tcPr>
                                  <w:tcW w:w="2288" w:type="dxa"/>
                                  <w:vAlign w:val="top"/>
                                </w:tcPr>
                                <w:p>
                                  <w:pPr>
                                    <w:pStyle w:val="24"/>
                                    <w:spacing w:before="38"/>
                                    <w:ind w:left="110"/>
                                    <w:rPr>
                                      <w:sz w:val="18"/>
                                    </w:rPr>
                                  </w:pPr>
                                  <w:r>
                                    <w:rPr>
                                      <w:sz w:val="18"/>
                                    </w:rPr>
                                    <w:t>肛门</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s6100</w:t>
                                  </w:r>
                                </w:p>
                              </w:tc>
                              <w:tc>
                                <w:tcPr>
                                  <w:tcW w:w="2288" w:type="dxa"/>
                                  <w:vAlign w:val="top"/>
                                </w:tcPr>
                                <w:p>
                                  <w:pPr>
                                    <w:pStyle w:val="24"/>
                                    <w:spacing w:before="38"/>
                                    <w:ind w:left="110"/>
                                    <w:rPr>
                                      <w:sz w:val="18"/>
                                    </w:rPr>
                                  </w:pPr>
                                  <w:r>
                                    <w:rPr>
                                      <w:sz w:val="18"/>
                                    </w:rPr>
                                    <w:t>肾</w:t>
                                  </w:r>
                                </w:p>
                              </w:tc>
                              <w:tc>
                                <w:tcPr>
                                  <w:tcW w:w="2429" w:type="dxa"/>
                                  <w:vAlign w:val="top"/>
                                </w:tcPr>
                                <w:p>
                                  <w:pPr>
                                    <w:pStyle w:val="24"/>
                                    <w:spacing w:before="38"/>
                                    <w:rPr>
                                      <w:sz w:val="18"/>
                                    </w:rPr>
                                  </w:pPr>
                                  <w:r>
                                    <w:rPr>
                                      <w:sz w:val="18"/>
                                    </w:rPr>
                                    <w:t>b620</w:t>
                                  </w:r>
                                </w:p>
                              </w:tc>
                              <w:tc>
                                <w:tcPr>
                                  <w:tcW w:w="2571" w:type="dxa"/>
                                  <w:vAlign w:val="top"/>
                                </w:tcPr>
                                <w:p>
                                  <w:pPr>
                                    <w:pStyle w:val="24"/>
                                    <w:spacing w:before="38"/>
                                    <w:rPr>
                                      <w:sz w:val="18"/>
                                    </w:rPr>
                                  </w:pPr>
                                  <w:r>
                                    <w:rPr>
                                      <w:sz w:val="18"/>
                                    </w:rPr>
                                    <w:t>排尿功能</w:t>
                                  </w:r>
                                </w:p>
                              </w:tc>
                            </w:tr>
                          </w:tbl>
                          <w:p>
                            <w:pPr>
                              <w:pStyle w:val="8"/>
                            </w:pPr>
                          </w:p>
                        </w:txbxContent>
                      </wps:txbx>
                      <wps:bodyPr lIns="0" tIns="0" rIns="0" bIns="0" upright="1"/>
                    </wps:wsp>
                  </a:graphicData>
                </a:graphic>
              </wp:anchor>
            </w:drawing>
          </mc:Choice>
          <mc:Fallback>
            <w:pict>
              <v:rect id="_x0000_s1026" o:spid="_x0000_s1026" o:spt="1" style="position:absolute;left:0pt;margin-left:65.15pt;margin-top:47.8pt;height:583.3pt;width:479.4pt;mso-position-horizontal-relative:page;z-index:251684864;mso-width-relative:page;mso-height-relative:page;" filled="f" stroked="f" coordsize="21600,21600" o:gfxdata="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oBvk9sAAAAMAQAADwAAAAAAAAABACAAAAAiAAAAZHJzL2Rvd25yZXYueG1s&#10;UEsBAhQAFAAAAAgAh07iQG5Zn0K8AQAAcwMAAA4AAAAAAAAAAQAgAAAAKgEAAGRycy9lMm9Eb2Mu&#10;eG1sUEsFBgAAAAAGAAYAWQEAAFgFAAAAAA==&#10;">
                <v:fill on="f" focussize="0,0"/>
                <v:stroke on="f"/>
                <v:imagedata o:title=""/>
                <o:lock v:ext="edit" aspectratio="f"/>
                <v:textbox inset="0mm,0mm,0mm,0mm">
                  <w:txbxContent>
                    <w:tbl>
                      <w:tblPr>
                        <w:tblStyle w:val="14"/>
                        <w:tblW w:w="95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5"/>
                        <w:gridCol w:w="2288"/>
                        <w:gridCol w:w="2429"/>
                        <w:gridCol w:w="2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285" w:type="dxa"/>
                            <w:vAlign w:val="top"/>
                          </w:tcPr>
                          <w:p>
                            <w:pPr>
                              <w:pStyle w:val="24"/>
                              <w:spacing w:before="69"/>
                              <w:rPr>
                                <w:sz w:val="18"/>
                              </w:rPr>
                            </w:pPr>
                            <w:r>
                              <w:rPr>
                                <w:sz w:val="18"/>
                              </w:rPr>
                              <w:t>ICF 结构代码</w:t>
                            </w:r>
                          </w:p>
                        </w:tc>
                        <w:tc>
                          <w:tcPr>
                            <w:tcW w:w="2288" w:type="dxa"/>
                            <w:vAlign w:val="top"/>
                          </w:tcPr>
                          <w:p>
                            <w:pPr>
                              <w:pStyle w:val="24"/>
                              <w:spacing w:before="69"/>
                              <w:ind w:left="110"/>
                              <w:rPr>
                                <w:sz w:val="18"/>
                              </w:rPr>
                            </w:pPr>
                            <w:r>
                              <w:rPr>
                                <w:sz w:val="18"/>
                              </w:rPr>
                              <w:t>代表身体结构</w:t>
                            </w:r>
                          </w:p>
                        </w:tc>
                        <w:tc>
                          <w:tcPr>
                            <w:tcW w:w="2429" w:type="dxa"/>
                            <w:vAlign w:val="top"/>
                          </w:tcPr>
                          <w:p>
                            <w:pPr>
                              <w:pStyle w:val="24"/>
                              <w:spacing w:before="69"/>
                              <w:rPr>
                                <w:sz w:val="18"/>
                              </w:rPr>
                            </w:pPr>
                            <w:r>
                              <w:rPr>
                                <w:sz w:val="18"/>
                              </w:rPr>
                              <w:t>ICF 功能代码</w:t>
                            </w:r>
                          </w:p>
                        </w:tc>
                        <w:tc>
                          <w:tcPr>
                            <w:tcW w:w="2571" w:type="dxa"/>
                            <w:vAlign w:val="top"/>
                          </w:tcPr>
                          <w:p>
                            <w:pPr>
                              <w:pStyle w:val="24"/>
                              <w:spacing w:before="69"/>
                              <w:rPr>
                                <w:sz w:val="18"/>
                              </w:rPr>
                            </w:pPr>
                            <w:r>
                              <w:rPr>
                                <w:sz w:val="18"/>
                              </w:rPr>
                              <w:t>代表身体功能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85" w:type="dxa"/>
                            <w:vAlign w:val="top"/>
                          </w:tcPr>
                          <w:p>
                            <w:pPr>
                              <w:pStyle w:val="24"/>
                              <w:spacing w:before="40"/>
                              <w:rPr>
                                <w:sz w:val="18"/>
                              </w:rPr>
                            </w:pPr>
                            <w:r>
                              <w:rPr>
                                <w:sz w:val="18"/>
                              </w:rPr>
                              <w:t>s110</w:t>
                            </w:r>
                          </w:p>
                        </w:tc>
                        <w:tc>
                          <w:tcPr>
                            <w:tcW w:w="2288" w:type="dxa"/>
                            <w:vAlign w:val="top"/>
                          </w:tcPr>
                          <w:p>
                            <w:pPr>
                              <w:pStyle w:val="24"/>
                              <w:spacing w:before="40"/>
                              <w:ind w:left="110"/>
                              <w:rPr>
                                <w:sz w:val="18"/>
                              </w:rPr>
                            </w:pPr>
                            <w:r>
                              <w:rPr>
                                <w:sz w:val="18"/>
                              </w:rPr>
                              <w:t>脑的结构</w:t>
                            </w:r>
                          </w:p>
                        </w:tc>
                        <w:tc>
                          <w:tcPr>
                            <w:tcW w:w="2429" w:type="dxa"/>
                            <w:vAlign w:val="top"/>
                          </w:tcPr>
                          <w:p>
                            <w:pPr>
                              <w:pStyle w:val="24"/>
                              <w:spacing w:before="40"/>
                              <w:rPr>
                                <w:sz w:val="18"/>
                              </w:rPr>
                            </w:pPr>
                            <w:r>
                              <w:rPr>
                                <w:sz w:val="18"/>
                              </w:rPr>
                              <w:t>b110</w:t>
                            </w:r>
                          </w:p>
                        </w:tc>
                        <w:tc>
                          <w:tcPr>
                            <w:tcW w:w="2571" w:type="dxa"/>
                            <w:vAlign w:val="top"/>
                          </w:tcPr>
                          <w:p>
                            <w:pPr>
                              <w:pStyle w:val="24"/>
                              <w:spacing w:before="40"/>
                              <w:rPr>
                                <w:sz w:val="18"/>
                              </w:rPr>
                            </w:pPr>
                            <w:r>
                              <w:rPr>
                                <w:sz w:val="18"/>
                              </w:rPr>
                              <w:t>意识功能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0"/>
                              <w:ind w:left="0"/>
                              <w:rPr>
                                <w:rFonts w:ascii="Times New Roman"/>
                                <w:sz w:val="18"/>
                              </w:rPr>
                            </w:pPr>
                          </w:p>
                        </w:tc>
                        <w:tc>
                          <w:tcPr>
                            <w:tcW w:w="2288" w:type="dxa"/>
                            <w:vAlign w:val="top"/>
                          </w:tcPr>
                          <w:p>
                            <w:pPr>
                              <w:pStyle w:val="24"/>
                              <w:spacing w:before="0"/>
                              <w:ind w:left="0"/>
                              <w:rPr>
                                <w:rFonts w:ascii="Times New Roman"/>
                                <w:sz w:val="18"/>
                              </w:rPr>
                            </w:pPr>
                          </w:p>
                        </w:tc>
                        <w:tc>
                          <w:tcPr>
                            <w:tcW w:w="2429" w:type="dxa"/>
                            <w:vAlign w:val="top"/>
                          </w:tcPr>
                          <w:p>
                            <w:pPr>
                              <w:pStyle w:val="24"/>
                              <w:spacing w:before="38"/>
                              <w:rPr>
                                <w:sz w:val="18"/>
                              </w:rPr>
                            </w:pPr>
                            <w:r>
                              <w:rPr>
                                <w:sz w:val="18"/>
                              </w:rPr>
                              <w:t>b117</w:t>
                            </w:r>
                          </w:p>
                        </w:tc>
                        <w:tc>
                          <w:tcPr>
                            <w:tcW w:w="2571" w:type="dxa"/>
                            <w:vAlign w:val="top"/>
                          </w:tcPr>
                          <w:p>
                            <w:pPr>
                              <w:pStyle w:val="24"/>
                              <w:spacing w:before="38"/>
                              <w:rPr>
                                <w:sz w:val="18"/>
                              </w:rPr>
                            </w:pPr>
                            <w:r>
                              <w:rPr>
                                <w:sz w:val="18"/>
                              </w:rPr>
                              <w:t>智力功能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0"/>
                              <w:ind w:left="0"/>
                              <w:rPr>
                                <w:rFonts w:ascii="Times New Roman"/>
                                <w:sz w:val="18"/>
                              </w:rPr>
                            </w:pPr>
                          </w:p>
                        </w:tc>
                        <w:tc>
                          <w:tcPr>
                            <w:tcW w:w="2288" w:type="dxa"/>
                            <w:vAlign w:val="top"/>
                          </w:tcPr>
                          <w:p>
                            <w:pPr>
                              <w:pStyle w:val="24"/>
                              <w:spacing w:before="0"/>
                              <w:ind w:left="0"/>
                              <w:rPr>
                                <w:rFonts w:ascii="Times New Roman"/>
                                <w:sz w:val="18"/>
                              </w:rPr>
                            </w:pPr>
                          </w:p>
                        </w:tc>
                        <w:tc>
                          <w:tcPr>
                            <w:tcW w:w="2429" w:type="dxa"/>
                            <w:vAlign w:val="top"/>
                          </w:tcPr>
                          <w:p>
                            <w:pPr>
                              <w:pStyle w:val="24"/>
                              <w:spacing w:before="38"/>
                              <w:rPr>
                                <w:sz w:val="18"/>
                              </w:rPr>
                            </w:pPr>
                            <w:r>
                              <w:rPr>
                                <w:sz w:val="18"/>
                              </w:rPr>
                              <w:t>b167</w:t>
                            </w:r>
                          </w:p>
                        </w:tc>
                        <w:tc>
                          <w:tcPr>
                            <w:tcW w:w="2571" w:type="dxa"/>
                            <w:vAlign w:val="top"/>
                          </w:tcPr>
                          <w:p>
                            <w:pPr>
                              <w:pStyle w:val="24"/>
                              <w:spacing w:before="38"/>
                              <w:rPr>
                                <w:sz w:val="18"/>
                              </w:rPr>
                            </w:pPr>
                            <w:r>
                              <w:rPr>
                                <w:sz w:val="18"/>
                              </w:rPr>
                              <w:t>语言精神功能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0"/>
                              <w:ind w:left="0"/>
                              <w:rPr>
                                <w:rFonts w:ascii="Times New Roman"/>
                                <w:sz w:val="18"/>
                              </w:rPr>
                            </w:pPr>
                          </w:p>
                        </w:tc>
                        <w:tc>
                          <w:tcPr>
                            <w:tcW w:w="2288" w:type="dxa"/>
                            <w:vAlign w:val="top"/>
                          </w:tcPr>
                          <w:p>
                            <w:pPr>
                              <w:pStyle w:val="24"/>
                              <w:spacing w:before="0"/>
                              <w:ind w:left="0"/>
                              <w:rPr>
                                <w:rFonts w:ascii="Times New Roman"/>
                                <w:sz w:val="18"/>
                              </w:rPr>
                            </w:pPr>
                          </w:p>
                        </w:tc>
                        <w:tc>
                          <w:tcPr>
                            <w:tcW w:w="2429" w:type="dxa"/>
                            <w:vAlign w:val="top"/>
                          </w:tcPr>
                          <w:p>
                            <w:pPr>
                              <w:pStyle w:val="24"/>
                              <w:spacing w:before="38"/>
                              <w:rPr>
                                <w:sz w:val="18"/>
                              </w:rPr>
                            </w:pPr>
                            <w:r>
                              <w:rPr>
                                <w:sz w:val="18"/>
                              </w:rPr>
                              <w:t>b198</w:t>
                            </w:r>
                          </w:p>
                        </w:tc>
                        <w:tc>
                          <w:tcPr>
                            <w:tcW w:w="2571" w:type="dxa"/>
                            <w:vAlign w:val="top"/>
                          </w:tcPr>
                          <w:p>
                            <w:pPr>
                              <w:pStyle w:val="24"/>
                              <w:spacing w:before="38"/>
                              <w:rPr>
                                <w:sz w:val="18"/>
                              </w:rPr>
                            </w:pPr>
                            <w:r>
                              <w:rPr>
                                <w:sz w:val="18"/>
                              </w:rPr>
                              <w:t>其他特指的精神功能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85" w:type="dxa"/>
                            <w:vAlign w:val="top"/>
                          </w:tcPr>
                          <w:p>
                            <w:pPr>
                              <w:pStyle w:val="24"/>
                              <w:spacing w:before="39"/>
                              <w:rPr>
                                <w:sz w:val="18"/>
                              </w:rPr>
                            </w:pPr>
                            <w:r>
                              <w:rPr>
                                <w:sz w:val="18"/>
                              </w:rPr>
                              <w:t>s220</w:t>
                            </w:r>
                          </w:p>
                        </w:tc>
                        <w:tc>
                          <w:tcPr>
                            <w:tcW w:w="2288" w:type="dxa"/>
                            <w:vAlign w:val="top"/>
                          </w:tcPr>
                          <w:p>
                            <w:pPr>
                              <w:pStyle w:val="24"/>
                              <w:spacing w:before="39"/>
                              <w:ind w:left="110"/>
                              <w:rPr>
                                <w:sz w:val="18"/>
                              </w:rPr>
                            </w:pPr>
                            <w:r>
                              <w:rPr>
                                <w:sz w:val="18"/>
                              </w:rPr>
                              <w:t>眼球的结构</w:t>
                            </w:r>
                          </w:p>
                        </w:tc>
                        <w:tc>
                          <w:tcPr>
                            <w:tcW w:w="2429" w:type="dxa"/>
                            <w:vAlign w:val="top"/>
                          </w:tcPr>
                          <w:p>
                            <w:pPr>
                              <w:pStyle w:val="24"/>
                              <w:spacing w:before="39"/>
                              <w:rPr>
                                <w:sz w:val="18"/>
                              </w:rPr>
                            </w:pPr>
                            <w:r>
                              <w:rPr>
                                <w:sz w:val="18"/>
                              </w:rPr>
                              <w:t>b210</w:t>
                            </w:r>
                          </w:p>
                        </w:tc>
                        <w:tc>
                          <w:tcPr>
                            <w:tcW w:w="2571" w:type="dxa"/>
                            <w:vAlign w:val="top"/>
                          </w:tcPr>
                          <w:p>
                            <w:pPr>
                              <w:pStyle w:val="24"/>
                              <w:spacing w:before="39"/>
                              <w:rPr>
                                <w:sz w:val="18"/>
                              </w:rPr>
                            </w:pPr>
                            <w:r>
                              <w:rPr>
                                <w:sz w:val="18"/>
                              </w:rPr>
                              <w:t>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s2204</w:t>
                            </w:r>
                          </w:p>
                        </w:tc>
                        <w:tc>
                          <w:tcPr>
                            <w:tcW w:w="2288" w:type="dxa"/>
                            <w:vAlign w:val="top"/>
                          </w:tcPr>
                          <w:p>
                            <w:pPr>
                              <w:pStyle w:val="24"/>
                              <w:spacing w:before="38"/>
                              <w:ind w:left="110"/>
                              <w:rPr>
                                <w:sz w:val="18"/>
                              </w:rPr>
                            </w:pPr>
                            <w:r>
                              <w:rPr>
                                <w:sz w:val="18"/>
                              </w:rPr>
                              <w:t>眼球的晶状体</w:t>
                            </w:r>
                          </w:p>
                        </w:tc>
                        <w:tc>
                          <w:tcPr>
                            <w:tcW w:w="2429" w:type="dxa"/>
                            <w:vAlign w:val="top"/>
                          </w:tcPr>
                          <w:p>
                            <w:pPr>
                              <w:pStyle w:val="24"/>
                              <w:spacing w:before="38"/>
                              <w:rPr>
                                <w:sz w:val="18"/>
                              </w:rPr>
                            </w:pPr>
                            <w:r>
                              <w:rPr>
                                <w:sz w:val="18"/>
                              </w:rPr>
                              <w:t>b2101</w:t>
                            </w:r>
                          </w:p>
                        </w:tc>
                        <w:tc>
                          <w:tcPr>
                            <w:tcW w:w="2571" w:type="dxa"/>
                            <w:vAlign w:val="top"/>
                          </w:tcPr>
                          <w:p>
                            <w:pPr>
                              <w:pStyle w:val="24"/>
                              <w:spacing w:before="38"/>
                              <w:rPr>
                                <w:sz w:val="18"/>
                              </w:rPr>
                            </w:pPr>
                            <w:r>
                              <w:rPr>
                                <w:sz w:val="18"/>
                              </w:rPr>
                              <w:t>视野功能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285" w:type="dxa"/>
                            <w:vAlign w:val="top"/>
                          </w:tcPr>
                          <w:p>
                            <w:pPr>
                              <w:pStyle w:val="24"/>
                              <w:spacing w:before="40"/>
                              <w:rPr>
                                <w:sz w:val="18"/>
                              </w:rPr>
                            </w:pPr>
                            <w:r>
                              <w:rPr>
                                <w:sz w:val="18"/>
                              </w:rPr>
                              <w:t>s2301</w:t>
                            </w:r>
                          </w:p>
                        </w:tc>
                        <w:tc>
                          <w:tcPr>
                            <w:tcW w:w="2288" w:type="dxa"/>
                            <w:vAlign w:val="top"/>
                          </w:tcPr>
                          <w:p>
                            <w:pPr>
                              <w:pStyle w:val="24"/>
                              <w:spacing w:before="40"/>
                              <w:ind w:left="110"/>
                              <w:rPr>
                                <w:sz w:val="18"/>
                              </w:rPr>
                            </w:pPr>
                            <w:r>
                              <w:rPr>
                                <w:sz w:val="18"/>
                              </w:rPr>
                              <w:t>眼睑</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s240</w:t>
                            </w:r>
                          </w:p>
                        </w:tc>
                        <w:tc>
                          <w:tcPr>
                            <w:tcW w:w="2288" w:type="dxa"/>
                            <w:vAlign w:val="top"/>
                          </w:tcPr>
                          <w:p>
                            <w:pPr>
                              <w:pStyle w:val="24"/>
                              <w:spacing w:before="38"/>
                              <w:ind w:left="110"/>
                              <w:rPr>
                                <w:sz w:val="18"/>
                              </w:rPr>
                            </w:pPr>
                            <w:r>
                              <w:rPr>
                                <w:sz w:val="18"/>
                              </w:rPr>
                              <w:t>外耳的结构</w:t>
                            </w:r>
                          </w:p>
                        </w:tc>
                        <w:tc>
                          <w:tcPr>
                            <w:tcW w:w="2429" w:type="dxa"/>
                            <w:vAlign w:val="top"/>
                          </w:tcPr>
                          <w:p>
                            <w:pPr>
                              <w:pStyle w:val="24"/>
                              <w:spacing w:before="38"/>
                              <w:rPr>
                                <w:sz w:val="18"/>
                              </w:rPr>
                            </w:pPr>
                            <w:r>
                              <w:rPr>
                                <w:sz w:val="18"/>
                              </w:rPr>
                              <w:t>b230</w:t>
                            </w:r>
                          </w:p>
                        </w:tc>
                        <w:tc>
                          <w:tcPr>
                            <w:tcW w:w="2571" w:type="dxa"/>
                            <w:vAlign w:val="top"/>
                          </w:tcPr>
                          <w:p>
                            <w:pPr>
                              <w:pStyle w:val="24"/>
                              <w:spacing w:before="38"/>
                              <w:rPr>
                                <w:sz w:val="18"/>
                              </w:rPr>
                            </w:pPr>
                            <w:r>
                              <w:rPr>
                                <w:sz w:val="18"/>
                              </w:rPr>
                              <w:t>听功能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s3100</w:t>
                            </w:r>
                          </w:p>
                        </w:tc>
                        <w:tc>
                          <w:tcPr>
                            <w:tcW w:w="2288" w:type="dxa"/>
                            <w:vAlign w:val="top"/>
                          </w:tcPr>
                          <w:p>
                            <w:pPr>
                              <w:pStyle w:val="24"/>
                              <w:spacing w:before="38"/>
                              <w:ind w:left="110"/>
                              <w:rPr>
                                <w:sz w:val="18"/>
                              </w:rPr>
                            </w:pPr>
                            <w:r>
                              <w:rPr>
                                <w:sz w:val="18"/>
                              </w:rPr>
                              <w:t>外鼻</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s3100A</w:t>
                            </w:r>
                          </w:p>
                        </w:tc>
                        <w:tc>
                          <w:tcPr>
                            <w:tcW w:w="2288" w:type="dxa"/>
                            <w:vAlign w:val="top"/>
                          </w:tcPr>
                          <w:p>
                            <w:pPr>
                              <w:pStyle w:val="24"/>
                              <w:spacing w:before="38"/>
                              <w:ind w:left="110"/>
                              <w:rPr>
                                <w:sz w:val="18"/>
                              </w:rPr>
                            </w:pPr>
                            <w:r>
                              <w:rPr>
                                <w:sz w:val="18"/>
                              </w:rPr>
                              <w:t>鼻翼</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s3108A</w:t>
                            </w:r>
                          </w:p>
                        </w:tc>
                        <w:tc>
                          <w:tcPr>
                            <w:tcW w:w="2288" w:type="dxa"/>
                            <w:vAlign w:val="top"/>
                          </w:tcPr>
                          <w:p>
                            <w:pPr>
                              <w:pStyle w:val="24"/>
                              <w:spacing w:before="38"/>
                              <w:ind w:left="110"/>
                              <w:rPr>
                                <w:sz w:val="18"/>
                              </w:rPr>
                            </w:pPr>
                            <w:r>
                              <w:rPr>
                                <w:sz w:val="18"/>
                              </w:rPr>
                              <w:t>鼻孔</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s3108B</w:t>
                            </w:r>
                          </w:p>
                        </w:tc>
                        <w:tc>
                          <w:tcPr>
                            <w:tcW w:w="2288" w:type="dxa"/>
                            <w:vAlign w:val="top"/>
                          </w:tcPr>
                          <w:p>
                            <w:pPr>
                              <w:pStyle w:val="24"/>
                              <w:spacing w:before="38"/>
                              <w:ind w:left="110"/>
                              <w:rPr>
                                <w:sz w:val="18"/>
                              </w:rPr>
                            </w:pPr>
                            <w:r>
                              <w:rPr>
                                <w:sz w:val="18"/>
                              </w:rPr>
                              <w:t>鼻腔</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285" w:type="dxa"/>
                            <w:vAlign w:val="top"/>
                          </w:tcPr>
                          <w:p>
                            <w:pPr>
                              <w:pStyle w:val="24"/>
                              <w:spacing w:before="40"/>
                              <w:rPr>
                                <w:sz w:val="18"/>
                              </w:rPr>
                            </w:pPr>
                            <w:r>
                              <w:rPr>
                                <w:sz w:val="18"/>
                              </w:rPr>
                              <w:t>s3200</w:t>
                            </w:r>
                          </w:p>
                        </w:tc>
                        <w:tc>
                          <w:tcPr>
                            <w:tcW w:w="2288" w:type="dxa"/>
                            <w:vAlign w:val="top"/>
                          </w:tcPr>
                          <w:p>
                            <w:pPr>
                              <w:pStyle w:val="24"/>
                              <w:spacing w:before="40"/>
                              <w:ind w:left="110"/>
                              <w:rPr>
                                <w:sz w:val="18"/>
                              </w:rPr>
                            </w:pPr>
                            <w:r>
                              <w:rPr>
                                <w:sz w:val="18"/>
                              </w:rPr>
                              <w:t>牙齿</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s3203</w:t>
                            </w:r>
                          </w:p>
                        </w:tc>
                        <w:tc>
                          <w:tcPr>
                            <w:tcW w:w="2288" w:type="dxa"/>
                            <w:vAlign w:val="top"/>
                          </w:tcPr>
                          <w:p>
                            <w:pPr>
                              <w:pStyle w:val="24"/>
                              <w:spacing w:before="38"/>
                              <w:ind w:left="110"/>
                              <w:rPr>
                                <w:sz w:val="18"/>
                              </w:rPr>
                            </w:pPr>
                            <w:r>
                              <w:rPr>
                                <w:sz w:val="18"/>
                              </w:rPr>
                              <w:t>舌</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s3300</w:t>
                            </w:r>
                          </w:p>
                        </w:tc>
                        <w:tc>
                          <w:tcPr>
                            <w:tcW w:w="2288" w:type="dxa"/>
                            <w:vAlign w:val="top"/>
                          </w:tcPr>
                          <w:p>
                            <w:pPr>
                              <w:pStyle w:val="24"/>
                              <w:spacing w:before="38"/>
                              <w:ind w:left="110"/>
                              <w:rPr>
                                <w:sz w:val="18"/>
                              </w:rPr>
                            </w:pPr>
                            <w:r>
                              <w:rPr>
                                <w:sz w:val="18"/>
                              </w:rPr>
                              <w:t>鼻咽</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s3400</w:t>
                            </w:r>
                          </w:p>
                        </w:tc>
                        <w:tc>
                          <w:tcPr>
                            <w:tcW w:w="2288" w:type="dxa"/>
                            <w:vAlign w:val="top"/>
                          </w:tcPr>
                          <w:p>
                            <w:pPr>
                              <w:pStyle w:val="24"/>
                              <w:spacing w:before="38"/>
                              <w:ind w:left="110"/>
                              <w:rPr>
                                <w:sz w:val="18"/>
                              </w:rPr>
                            </w:pPr>
                            <w:r>
                              <w:rPr>
                                <w:sz w:val="18"/>
                              </w:rPr>
                              <w:t>声带</w:t>
                            </w:r>
                          </w:p>
                        </w:tc>
                        <w:tc>
                          <w:tcPr>
                            <w:tcW w:w="2429" w:type="dxa"/>
                            <w:vAlign w:val="top"/>
                          </w:tcPr>
                          <w:p>
                            <w:pPr>
                              <w:pStyle w:val="24"/>
                              <w:spacing w:before="38"/>
                              <w:rPr>
                                <w:sz w:val="18"/>
                              </w:rPr>
                            </w:pPr>
                            <w:r>
                              <w:rPr>
                                <w:sz w:val="18"/>
                              </w:rPr>
                              <w:t>b399</w:t>
                            </w:r>
                          </w:p>
                        </w:tc>
                        <w:tc>
                          <w:tcPr>
                            <w:tcW w:w="2571" w:type="dxa"/>
                            <w:vAlign w:val="top"/>
                          </w:tcPr>
                          <w:p>
                            <w:pPr>
                              <w:pStyle w:val="24"/>
                              <w:spacing w:before="38"/>
                              <w:rPr>
                                <w:sz w:val="18"/>
                              </w:rPr>
                            </w:pPr>
                            <w:r>
                              <w:rPr>
                                <w:sz w:val="18"/>
                              </w:rPr>
                              <w:t>发声和言语功能，未特指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s4100</w:t>
                            </w:r>
                          </w:p>
                        </w:tc>
                        <w:tc>
                          <w:tcPr>
                            <w:tcW w:w="2288" w:type="dxa"/>
                            <w:vAlign w:val="top"/>
                          </w:tcPr>
                          <w:p>
                            <w:pPr>
                              <w:pStyle w:val="24"/>
                              <w:spacing w:before="38"/>
                              <w:ind w:left="110"/>
                              <w:rPr>
                                <w:sz w:val="18"/>
                              </w:rPr>
                            </w:pPr>
                            <w:r>
                              <w:rPr>
                                <w:sz w:val="18"/>
                              </w:rPr>
                              <w:t>心脏</w:t>
                            </w:r>
                          </w:p>
                        </w:tc>
                        <w:tc>
                          <w:tcPr>
                            <w:tcW w:w="2429" w:type="dxa"/>
                            <w:vAlign w:val="top"/>
                          </w:tcPr>
                          <w:p>
                            <w:pPr>
                              <w:pStyle w:val="24"/>
                              <w:spacing w:before="38"/>
                              <w:rPr>
                                <w:sz w:val="18"/>
                              </w:rPr>
                            </w:pPr>
                            <w:r>
                              <w:rPr>
                                <w:sz w:val="18"/>
                              </w:rPr>
                              <w:t>b410</w:t>
                            </w:r>
                          </w:p>
                        </w:tc>
                        <w:tc>
                          <w:tcPr>
                            <w:tcW w:w="2571" w:type="dxa"/>
                            <w:vAlign w:val="top"/>
                          </w:tcPr>
                          <w:p>
                            <w:pPr>
                              <w:pStyle w:val="24"/>
                              <w:spacing w:before="38"/>
                              <w:rPr>
                                <w:sz w:val="18"/>
                              </w:rPr>
                            </w:pPr>
                            <w:r>
                              <w:rPr>
                                <w:sz w:val="18"/>
                              </w:rPr>
                              <w:t>心脏功能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s41008</w:t>
                            </w:r>
                          </w:p>
                        </w:tc>
                        <w:tc>
                          <w:tcPr>
                            <w:tcW w:w="2288" w:type="dxa"/>
                            <w:vAlign w:val="top"/>
                          </w:tcPr>
                          <w:p>
                            <w:pPr>
                              <w:pStyle w:val="24"/>
                              <w:spacing w:before="38"/>
                              <w:ind w:left="110"/>
                              <w:rPr>
                                <w:sz w:val="18"/>
                              </w:rPr>
                            </w:pPr>
                            <w:r>
                              <w:rPr>
                                <w:sz w:val="18"/>
                              </w:rPr>
                              <w:t>特指心肌</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285" w:type="dxa"/>
                            <w:vAlign w:val="top"/>
                          </w:tcPr>
                          <w:p>
                            <w:pPr>
                              <w:pStyle w:val="24"/>
                              <w:spacing w:before="40"/>
                              <w:rPr>
                                <w:sz w:val="18"/>
                              </w:rPr>
                            </w:pPr>
                            <w:r>
                              <w:rPr>
                                <w:sz w:val="18"/>
                              </w:rPr>
                              <w:t>s4203</w:t>
                            </w:r>
                          </w:p>
                        </w:tc>
                        <w:tc>
                          <w:tcPr>
                            <w:tcW w:w="2288" w:type="dxa"/>
                            <w:vAlign w:val="top"/>
                          </w:tcPr>
                          <w:p>
                            <w:pPr>
                              <w:pStyle w:val="24"/>
                              <w:spacing w:before="40"/>
                              <w:ind w:left="110"/>
                              <w:rPr>
                                <w:sz w:val="18"/>
                              </w:rPr>
                            </w:pPr>
                            <w:r>
                              <w:rPr>
                                <w:sz w:val="18"/>
                              </w:rPr>
                              <w:t>脾</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s4301</w:t>
                            </w:r>
                          </w:p>
                        </w:tc>
                        <w:tc>
                          <w:tcPr>
                            <w:tcW w:w="2288" w:type="dxa"/>
                            <w:vAlign w:val="top"/>
                          </w:tcPr>
                          <w:p>
                            <w:pPr>
                              <w:pStyle w:val="24"/>
                              <w:spacing w:before="38"/>
                              <w:ind w:left="110"/>
                              <w:rPr>
                                <w:sz w:val="18"/>
                              </w:rPr>
                            </w:pPr>
                            <w:r>
                              <w:rPr>
                                <w:sz w:val="18"/>
                              </w:rPr>
                              <w:t>肺</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s43018A</w:t>
                            </w:r>
                          </w:p>
                        </w:tc>
                        <w:tc>
                          <w:tcPr>
                            <w:tcW w:w="2288" w:type="dxa"/>
                            <w:vAlign w:val="top"/>
                          </w:tcPr>
                          <w:p>
                            <w:pPr>
                              <w:pStyle w:val="24"/>
                              <w:spacing w:before="38"/>
                              <w:ind w:left="110"/>
                              <w:rPr>
                                <w:sz w:val="18"/>
                              </w:rPr>
                            </w:pPr>
                            <w:r>
                              <w:rPr>
                                <w:sz w:val="18"/>
                              </w:rPr>
                              <w:t>肺叶</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s4302A</w:t>
                            </w:r>
                          </w:p>
                        </w:tc>
                        <w:tc>
                          <w:tcPr>
                            <w:tcW w:w="2288" w:type="dxa"/>
                            <w:vAlign w:val="top"/>
                          </w:tcPr>
                          <w:p>
                            <w:pPr>
                              <w:pStyle w:val="24"/>
                              <w:spacing w:before="38"/>
                              <w:ind w:left="110"/>
                              <w:rPr>
                                <w:sz w:val="18"/>
                              </w:rPr>
                            </w:pPr>
                            <w:r>
                              <w:rPr>
                                <w:sz w:val="18"/>
                              </w:rPr>
                              <w:t>肋骨</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s530</w:t>
                            </w:r>
                          </w:p>
                        </w:tc>
                        <w:tc>
                          <w:tcPr>
                            <w:tcW w:w="2288" w:type="dxa"/>
                            <w:vAlign w:val="top"/>
                          </w:tcPr>
                          <w:p>
                            <w:pPr>
                              <w:pStyle w:val="24"/>
                              <w:spacing w:before="38"/>
                              <w:ind w:left="110"/>
                              <w:rPr>
                                <w:sz w:val="18"/>
                              </w:rPr>
                            </w:pPr>
                            <w:r>
                              <w:rPr>
                                <w:sz w:val="18"/>
                              </w:rPr>
                              <w:t>胃的结构</w:t>
                            </w:r>
                          </w:p>
                        </w:tc>
                        <w:tc>
                          <w:tcPr>
                            <w:tcW w:w="2429" w:type="dxa"/>
                            <w:vAlign w:val="top"/>
                          </w:tcPr>
                          <w:p>
                            <w:pPr>
                              <w:pStyle w:val="24"/>
                              <w:spacing w:before="38"/>
                              <w:rPr>
                                <w:sz w:val="18"/>
                              </w:rPr>
                            </w:pPr>
                            <w:r>
                              <w:rPr>
                                <w:sz w:val="18"/>
                              </w:rPr>
                              <w:t>b5102</w:t>
                            </w:r>
                          </w:p>
                        </w:tc>
                        <w:tc>
                          <w:tcPr>
                            <w:tcW w:w="2571" w:type="dxa"/>
                            <w:vAlign w:val="top"/>
                          </w:tcPr>
                          <w:p>
                            <w:pPr>
                              <w:pStyle w:val="24"/>
                              <w:spacing w:before="38"/>
                              <w:rPr>
                                <w:sz w:val="18"/>
                              </w:rPr>
                            </w:pPr>
                            <w:r>
                              <w:rPr>
                                <w:sz w:val="18"/>
                              </w:rPr>
                              <w:t>咀嚼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s5400</w:t>
                            </w:r>
                          </w:p>
                        </w:tc>
                        <w:tc>
                          <w:tcPr>
                            <w:tcW w:w="2288" w:type="dxa"/>
                            <w:vAlign w:val="top"/>
                          </w:tcPr>
                          <w:p>
                            <w:pPr>
                              <w:pStyle w:val="24"/>
                              <w:spacing w:before="38"/>
                              <w:ind w:left="110"/>
                              <w:rPr>
                                <w:sz w:val="18"/>
                              </w:rPr>
                            </w:pPr>
                            <w:r>
                              <w:rPr>
                                <w:sz w:val="18"/>
                              </w:rPr>
                              <w:t>小肠</w:t>
                            </w:r>
                          </w:p>
                        </w:tc>
                        <w:tc>
                          <w:tcPr>
                            <w:tcW w:w="2429" w:type="dxa"/>
                            <w:vAlign w:val="top"/>
                          </w:tcPr>
                          <w:p>
                            <w:pPr>
                              <w:pStyle w:val="24"/>
                              <w:spacing w:before="38"/>
                              <w:rPr>
                                <w:sz w:val="18"/>
                              </w:rPr>
                            </w:pPr>
                            <w:r>
                              <w:rPr>
                                <w:sz w:val="18"/>
                              </w:rPr>
                              <w:t>b5105</w:t>
                            </w:r>
                          </w:p>
                        </w:tc>
                        <w:tc>
                          <w:tcPr>
                            <w:tcW w:w="2571" w:type="dxa"/>
                            <w:vAlign w:val="top"/>
                          </w:tcPr>
                          <w:p>
                            <w:pPr>
                              <w:pStyle w:val="24"/>
                              <w:spacing w:before="38"/>
                              <w:rPr>
                                <w:sz w:val="18"/>
                              </w:rPr>
                            </w:pPr>
                            <w:r>
                              <w:rPr>
                                <w:sz w:val="18"/>
                              </w:rPr>
                              <w:t>吞咽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85" w:type="dxa"/>
                            <w:vAlign w:val="top"/>
                          </w:tcPr>
                          <w:p>
                            <w:pPr>
                              <w:pStyle w:val="24"/>
                              <w:spacing w:before="40"/>
                              <w:rPr>
                                <w:sz w:val="18"/>
                              </w:rPr>
                            </w:pPr>
                            <w:r>
                              <w:rPr>
                                <w:sz w:val="18"/>
                              </w:rPr>
                              <w:t>s5400A</w:t>
                            </w:r>
                          </w:p>
                        </w:tc>
                        <w:tc>
                          <w:tcPr>
                            <w:tcW w:w="2288" w:type="dxa"/>
                            <w:vAlign w:val="top"/>
                          </w:tcPr>
                          <w:p>
                            <w:pPr>
                              <w:pStyle w:val="24"/>
                              <w:spacing w:before="40"/>
                              <w:ind w:left="110"/>
                              <w:rPr>
                                <w:sz w:val="18"/>
                              </w:rPr>
                            </w:pPr>
                            <w:r>
                              <w:rPr>
                                <w:sz w:val="18"/>
                              </w:rPr>
                              <w:t>十二指肠</w:t>
                            </w:r>
                          </w:p>
                        </w:tc>
                        <w:tc>
                          <w:tcPr>
                            <w:tcW w:w="2429" w:type="dxa"/>
                            <w:vAlign w:val="top"/>
                          </w:tcPr>
                          <w:p>
                            <w:pPr>
                              <w:pStyle w:val="24"/>
                              <w:spacing w:before="40"/>
                              <w:rPr>
                                <w:sz w:val="18"/>
                              </w:rPr>
                            </w:pPr>
                            <w:r>
                              <w:rPr>
                                <w:sz w:val="18"/>
                              </w:rPr>
                              <w:t>b5152</w:t>
                            </w:r>
                          </w:p>
                        </w:tc>
                        <w:tc>
                          <w:tcPr>
                            <w:tcW w:w="2571" w:type="dxa"/>
                            <w:vAlign w:val="top"/>
                          </w:tcPr>
                          <w:p>
                            <w:pPr>
                              <w:pStyle w:val="24"/>
                              <w:spacing w:before="40"/>
                              <w:rPr>
                                <w:sz w:val="18"/>
                              </w:rPr>
                            </w:pPr>
                            <w:r>
                              <w:rPr>
                                <w:sz w:val="18"/>
                              </w:rPr>
                              <w:t>吸收养分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85" w:type="dxa"/>
                            <w:vAlign w:val="top"/>
                          </w:tcPr>
                          <w:p>
                            <w:pPr>
                              <w:pStyle w:val="24"/>
                              <w:spacing w:before="38"/>
                              <w:rPr>
                                <w:sz w:val="18"/>
                              </w:rPr>
                            </w:pPr>
                            <w:r>
                              <w:rPr>
                                <w:sz w:val="18"/>
                              </w:rPr>
                              <w:t>s5400C</w:t>
                            </w:r>
                          </w:p>
                        </w:tc>
                        <w:tc>
                          <w:tcPr>
                            <w:tcW w:w="2288" w:type="dxa"/>
                            <w:vAlign w:val="top"/>
                          </w:tcPr>
                          <w:p>
                            <w:pPr>
                              <w:pStyle w:val="24"/>
                              <w:spacing w:before="38"/>
                              <w:ind w:left="110"/>
                              <w:rPr>
                                <w:sz w:val="18"/>
                              </w:rPr>
                            </w:pPr>
                            <w:r>
                              <w:rPr>
                                <w:sz w:val="18"/>
                              </w:rPr>
                              <w:t>回肠</w:t>
                            </w:r>
                          </w:p>
                        </w:tc>
                        <w:tc>
                          <w:tcPr>
                            <w:tcW w:w="2429" w:type="dxa"/>
                            <w:vAlign w:val="top"/>
                          </w:tcPr>
                          <w:p>
                            <w:pPr>
                              <w:pStyle w:val="24"/>
                              <w:spacing w:before="38"/>
                              <w:rPr>
                                <w:sz w:val="18"/>
                              </w:rPr>
                            </w:pPr>
                            <w:r>
                              <w:rPr>
                                <w:sz w:val="18"/>
                              </w:rPr>
                              <w:t>b525</w:t>
                            </w:r>
                          </w:p>
                        </w:tc>
                        <w:tc>
                          <w:tcPr>
                            <w:tcW w:w="2571" w:type="dxa"/>
                            <w:vAlign w:val="top"/>
                          </w:tcPr>
                          <w:p>
                            <w:pPr>
                              <w:pStyle w:val="24"/>
                              <w:spacing w:before="38"/>
                              <w:rPr>
                                <w:sz w:val="18"/>
                              </w:rPr>
                            </w:pPr>
                            <w:r>
                              <w:rPr>
                                <w:sz w:val="18"/>
                              </w:rPr>
                              <w:t>排便功能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s5401</w:t>
                            </w:r>
                          </w:p>
                        </w:tc>
                        <w:tc>
                          <w:tcPr>
                            <w:tcW w:w="2288" w:type="dxa"/>
                            <w:vAlign w:val="top"/>
                          </w:tcPr>
                          <w:p>
                            <w:pPr>
                              <w:pStyle w:val="24"/>
                              <w:spacing w:before="38"/>
                              <w:ind w:left="110"/>
                              <w:rPr>
                                <w:sz w:val="18"/>
                              </w:rPr>
                            </w:pPr>
                            <w:r>
                              <w:rPr>
                                <w:sz w:val="18"/>
                              </w:rPr>
                              <w:t>大肠</w:t>
                            </w:r>
                          </w:p>
                        </w:tc>
                        <w:tc>
                          <w:tcPr>
                            <w:tcW w:w="2429" w:type="dxa"/>
                            <w:vAlign w:val="top"/>
                          </w:tcPr>
                          <w:p>
                            <w:pPr>
                              <w:pStyle w:val="24"/>
                              <w:spacing w:before="38"/>
                              <w:rPr>
                                <w:sz w:val="18"/>
                              </w:rPr>
                            </w:pPr>
                            <w:r>
                              <w:rPr>
                                <w:sz w:val="18"/>
                              </w:rPr>
                              <w:t>b5408</w:t>
                            </w:r>
                          </w:p>
                        </w:tc>
                        <w:tc>
                          <w:tcPr>
                            <w:tcW w:w="2571" w:type="dxa"/>
                            <w:vAlign w:val="top"/>
                          </w:tcPr>
                          <w:p>
                            <w:pPr>
                              <w:pStyle w:val="24"/>
                              <w:spacing w:before="38"/>
                              <w:rPr>
                                <w:sz w:val="18"/>
                              </w:rPr>
                            </w:pPr>
                            <w:r>
                              <w:rPr>
                                <w:sz w:val="18"/>
                              </w:rPr>
                              <w:t>其他特指的一般代谢功能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s5401A</w:t>
                            </w:r>
                          </w:p>
                        </w:tc>
                        <w:tc>
                          <w:tcPr>
                            <w:tcW w:w="2288" w:type="dxa"/>
                            <w:vAlign w:val="top"/>
                          </w:tcPr>
                          <w:p>
                            <w:pPr>
                              <w:pStyle w:val="24"/>
                              <w:spacing w:before="38"/>
                              <w:ind w:left="110"/>
                              <w:rPr>
                                <w:sz w:val="18"/>
                              </w:rPr>
                            </w:pPr>
                            <w:r>
                              <w:rPr>
                                <w:sz w:val="18"/>
                              </w:rPr>
                              <w:t>结肠</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s5401B</w:t>
                            </w:r>
                          </w:p>
                        </w:tc>
                        <w:tc>
                          <w:tcPr>
                            <w:tcW w:w="2288" w:type="dxa"/>
                            <w:vAlign w:val="top"/>
                          </w:tcPr>
                          <w:p>
                            <w:pPr>
                              <w:pStyle w:val="24"/>
                              <w:spacing w:before="38"/>
                              <w:ind w:left="110"/>
                              <w:rPr>
                                <w:sz w:val="18"/>
                              </w:rPr>
                            </w:pPr>
                            <w:r>
                              <w:rPr>
                                <w:sz w:val="18"/>
                              </w:rPr>
                              <w:t>直肠</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s5408A</w:t>
                            </w:r>
                          </w:p>
                        </w:tc>
                        <w:tc>
                          <w:tcPr>
                            <w:tcW w:w="2288" w:type="dxa"/>
                            <w:vAlign w:val="top"/>
                          </w:tcPr>
                          <w:p>
                            <w:pPr>
                              <w:pStyle w:val="24"/>
                              <w:spacing w:before="38"/>
                              <w:ind w:left="110"/>
                              <w:rPr>
                                <w:sz w:val="18"/>
                              </w:rPr>
                            </w:pPr>
                            <w:r>
                              <w:rPr>
                                <w:sz w:val="18"/>
                              </w:rPr>
                              <w:t>盲肠</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85" w:type="dxa"/>
                            <w:vAlign w:val="top"/>
                          </w:tcPr>
                          <w:p>
                            <w:pPr>
                              <w:pStyle w:val="24"/>
                              <w:spacing w:before="40"/>
                              <w:rPr>
                                <w:sz w:val="18"/>
                              </w:rPr>
                            </w:pPr>
                            <w:r>
                              <w:rPr>
                                <w:sz w:val="18"/>
                              </w:rPr>
                              <w:t>s550</w:t>
                            </w:r>
                          </w:p>
                        </w:tc>
                        <w:tc>
                          <w:tcPr>
                            <w:tcW w:w="2288" w:type="dxa"/>
                            <w:vAlign w:val="top"/>
                          </w:tcPr>
                          <w:p>
                            <w:pPr>
                              <w:pStyle w:val="24"/>
                              <w:spacing w:before="40"/>
                              <w:ind w:left="110"/>
                              <w:rPr>
                                <w:sz w:val="18"/>
                              </w:rPr>
                            </w:pPr>
                            <w:r>
                              <w:rPr>
                                <w:sz w:val="18"/>
                              </w:rPr>
                              <w:t>胰的结构</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ICF 结构代码</w:t>
                            </w:r>
                          </w:p>
                        </w:tc>
                        <w:tc>
                          <w:tcPr>
                            <w:tcW w:w="2288" w:type="dxa"/>
                            <w:vAlign w:val="top"/>
                          </w:tcPr>
                          <w:p>
                            <w:pPr>
                              <w:pStyle w:val="24"/>
                              <w:spacing w:before="38"/>
                              <w:ind w:left="110"/>
                              <w:rPr>
                                <w:sz w:val="18"/>
                              </w:rPr>
                            </w:pPr>
                            <w:r>
                              <w:rPr>
                                <w:sz w:val="18"/>
                              </w:rPr>
                              <w:t>代表身体结构</w:t>
                            </w:r>
                          </w:p>
                        </w:tc>
                        <w:tc>
                          <w:tcPr>
                            <w:tcW w:w="2429" w:type="dxa"/>
                            <w:vAlign w:val="top"/>
                          </w:tcPr>
                          <w:p>
                            <w:pPr>
                              <w:pStyle w:val="24"/>
                              <w:spacing w:before="38"/>
                              <w:rPr>
                                <w:sz w:val="18"/>
                              </w:rPr>
                            </w:pPr>
                            <w:r>
                              <w:rPr>
                                <w:sz w:val="18"/>
                              </w:rPr>
                              <w:t>ICF 功能代码</w:t>
                            </w:r>
                          </w:p>
                        </w:tc>
                        <w:tc>
                          <w:tcPr>
                            <w:tcW w:w="2571" w:type="dxa"/>
                            <w:vAlign w:val="top"/>
                          </w:tcPr>
                          <w:p>
                            <w:pPr>
                              <w:pStyle w:val="24"/>
                              <w:spacing w:before="38"/>
                              <w:rPr>
                                <w:sz w:val="18"/>
                              </w:rPr>
                            </w:pPr>
                            <w:r>
                              <w:rPr>
                                <w:sz w:val="18"/>
                              </w:rPr>
                              <w:t>代表身体功能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s560</w:t>
                            </w:r>
                          </w:p>
                        </w:tc>
                        <w:tc>
                          <w:tcPr>
                            <w:tcW w:w="2288" w:type="dxa"/>
                            <w:vAlign w:val="top"/>
                          </w:tcPr>
                          <w:p>
                            <w:pPr>
                              <w:pStyle w:val="24"/>
                              <w:spacing w:before="38"/>
                              <w:ind w:left="110"/>
                              <w:rPr>
                                <w:sz w:val="18"/>
                              </w:rPr>
                            </w:pPr>
                            <w:r>
                              <w:rPr>
                                <w:sz w:val="18"/>
                              </w:rPr>
                              <w:t>肝的结构</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s598A</w:t>
                            </w:r>
                          </w:p>
                        </w:tc>
                        <w:tc>
                          <w:tcPr>
                            <w:tcW w:w="2288" w:type="dxa"/>
                            <w:vAlign w:val="top"/>
                          </w:tcPr>
                          <w:p>
                            <w:pPr>
                              <w:pStyle w:val="24"/>
                              <w:spacing w:before="38"/>
                              <w:ind w:left="110"/>
                              <w:rPr>
                                <w:sz w:val="18"/>
                              </w:rPr>
                            </w:pPr>
                            <w:r>
                              <w:rPr>
                                <w:sz w:val="18"/>
                              </w:rPr>
                              <w:t>肛门</w:t>
                            </w:r>
                          </w:p>
                        </w:tc>
                        <w:tc>
                          <w:tcPr>
                            <w:tcW w:w="2429" w:type="dxa"/>
                            <w:vAlign w:val="top"/>
                          </w:tcPr>
                          <w:p>
                            <w:pPr>
                              <w:pStyle w:val="24"/>
                              <w:spacing w:before="0"/>
                              <w:ind w:left="0"/>
                              <w:rPr>
                                <w:rFonts w:ascii="Times New Roman"/>
                                <w:sz w:val="18"/>
                              </w:rPr>
                            </w:pPr>
                          </w:p>
                        </w:tc>
                        <w:tc>
                          <w:tcPr>
                            <w:tcW w:w="2571" w:type="dxa"/>
                            <w:vAlign w:val="top"/>
                          </w:tcPr>
                          <w:p>
                            <w:pPr>
                              <w:pStyle w:val="24"/>
                              <w:spacing w:before="0"/>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sz w:val="18"/>
                              </w:rPr>
                            </w:pPr>
                            <w:r>
                              <w:rPr>
                                <w:sz w:val="18"/>
                              </w:rPr>
                              <w:t>s6100</w:t>
                            </w:r>
                          </w:p>
                        </w:tc>
                        <w:tc>
                          <w:tcPr>
                            <w:tcW w:w="2288" w:type="dxa"/>
                            <w:vAlign w:val="top"/>
                          </w:tcPr>
                          <w:p>
                            <w:pPr>
                              <w:pStyle w:val="24"/>
                              <w:spacing w:before="38"/>
                              <w:ind w:left="110"/>
                              <w:rPr>
                                <w:sz w:val="18"/>
                              </w:rPr>
                            </w:pPr>
                            <w:r>
                              <w:rPr>
                                <w:sz w:val="18"/>
                              </w:rPr>
                              <w:t>肾</w:t>
                            </w:r>
                          </w:p>
                        </w:tc>
                        <w:tc>
                          <w:tcPr>
                            <w:tcW w:w="2429" w:type="dxa"/>
                            <w:vAlign w:val="top"/>
                          </w:tcPr>
                          <w:p>
                            <w:pPr>
                              <w:pStyle w:val="24"/>
                              <w:spacing w:before="38"/>
                              <w:rPr>
                                <w:sz w:val="18"/>
                              </w:rPr>
                            </w:pPr>
                            <w:r>
                              <w:rPr>
                                <w:sz w:val="18"/>
                              </w:rPr>
                              <w:t>b620</w:t>
                            </w:r>
                          </w:p>
                        </w:tc>
                        <w:tc>
                          <w:tcPr>
                            <w:tcW w:w="2571" w:type="dxa"/>
                            <w:vAlign w:val="top"/>
                          </w:tcPr>
                          <w:p>
                            <w:pPr>
                              <w:pStyle w:val="24"/>
                              <w:spacing w:before="38"/>
                              <w:rPr>
                                <w:sz w:val="18"/>
                              </w:rPr>
                            </w:pPr>
                            <w:r>
                              <w:rPr>
                                <w:sz w:val="18"/>
                              </w:rPr>
                              <w:t>排尿功能</w:t>
                            </w:r>
                          </w:p>
                        </w:tc>
                      </w:tr>
                    </w:tbl>
                    <w:p>
                      <w:pPr>
                        <w:pStyle w:val="8"/>
                      </w:pPr>
                    </w:p>
                  </w:txbxContent>
                </v:textbox>
              </v:rect>
            </w:pict>
          </mc:Fallback>
        </mc:AlternateContent>
      </w:r>
      <w:r>
        <w:rPr>
          <w:rFonts w:hint="eastAsia" w:ascii="黑体" w:eastAsia="黑体"/>
          <w:color w:val="000000" w:themeColor="text1"/>
          <w:highlight w:val="none"/>
          <w14:textFill>
            <w14:solidFill>
              <w14:schemeClr w14:val="tx1"/>
            </w14:solidFill>
          </w14:textFill>
        </w:rPr>
        <w:t>人身保险伤残评定标准结构、功能代码列表表B1</w:t>
      </w:r>
    </w:p>
    <w:p>
      <w:pPr>
        <w:spacing w:line="417" w:lineRule="auto"/>
        <w:jc w:val="center"/>
        <w:rPr>
          <w:rFonts w:ascii="黑体" w:eastAsia="黑体"/>
          <w:color w:val="000000" w:themeColor="text1"/>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4"/>
        <w:rPr>
          <w:rFonts w:ascii="黑体"/>
          <w:color w:val="000000" w:themeColor="text1"/>
          <w:sz w:val="18"/>
          <w:highlight w:val="none"/>
          <w14:textFill>
            <w14:solidFill>
              <w14:schemeClr w14:val="tx1"/>
            </w14:solidFill>
          </w14:textFill>
        </w:rPr>
      </w:pPr>
    </w:p>
    <w:p>
      <w:pPr>
        <w:pStyle w:val="8"/>
        <w:spacing w:line="20" w:lineRule="exact"/>
        <w:ind w:left="99"/>
        <w:rPr>
          <w:rFonts w:ascii="黑体"/>
          <w:color w:val="000000" w:themeColor="text1"/>
          <w:sz w:val="2"/>
          <w:highlight w:val="none"/>
          <w14:textFill>
            <w14:solidFill>
              <w14:schemeClr w14:val="tx1"/>
            </w14:solidFill>
          </w14:textFill>
        </w:rPr>
      </w:pPr>
      <w:r>
        <w:rPr>
          <w:rFonts w:ascii="黑体"/>
          <w:color w:val="000000" w:themeColor="text1"/>
          <w:sz w:val="2"/>
          <w:highlight w:val="none"/>
          <w:lang w:val="en-US" w:bidi="ar-SA"/>
          <w14:textFill>
            <w14:solidFill>
              <w14:schemeClr w14:val="tx1"/>
            </w14:solidFill>
          </w14:textFill>
        </w:rPr>
        <mc:AlternateContent>
          <mc:Choice Requires="wpg">
            <w:drawing>
              <wp:inline distT="0" distB="0" distL="114300" distR="114300">
                <wp:extent cx="6079490" cy="6350"/>
                <wp:effectExtent l="0" t="0" r="0" b="0"/>
                <wp:docPr id="96" name="组合 96"/>
                <wp:cNvGraphicFramePr/>
                <a:graphic xmlns:a="http://schemas.openxmlformats.org/drawingml/2006/main">
                  <a:graphicData uri="http://schemas.microsoft.com/office/word/2010/wordprocessingGroup">
                    <wpg:wgp>
                      <wpg:cNvGrpSpPr>
                        <a:grpSpLocks noRot="1"/>
                      </wpg:cNvGrpSpPr>
                      <wpg:grpSpPr>
                        <a:xfrm>
                          <a:off x="0" y="0"/>
                          <a:ext cx="6079490" cy="6350"/>
                          <a:chOff x="0" y="0"/>
                          <a:chExt cx="9574" cy="0"/>
                        </a:xfrm>
                      </wpg:grpSpPr>
                      <wps:wsp>
                        <wps:cNvPr id="95" name="直接连接符 95"/>
                        <wps:cNvCnPr/>
                        <wps:spPr>
                          <a:xfrm>
                            <a:off x="0" y="0"/>
                            <a:ext cx="9574"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78.7pt;" coordsize="9574,0" o:gfxdata="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uEs&#10;sdQAAAADAQAADwAAAAAAAAABACAAAAAiAAAAZHJzL2Rvd25yZXYueG1sUEsBAhQAFAAAAAgAh07i&#10;QIuDZ8dfAgAAMwUAAA4AAAAAAAAAAQAgAAAAIwEAAGRycy9lMm9Eb2MueG1sUEsFBgAAAAAGAAYA&#10;WQEAAPQFAAAAAA==&#10;">
                <o:lock v:ext="edit" rotation="t" aspectratio="f"/>
                <v:line id="_x0000_s1026" o:spid="_x0000_s1026" o:spt="20" style="position:absolute;left:0;top:0;height:0;width:9574;" filled="f" stroked="t" coordsize="21600,21600" o:gfxdata="UEsDBAoAAAAAAIdO4kAAAAAAAAAAAAAAAAAEAAAAZHJzL1BLAwQUAAAACACHTuJAIhwt1b4AAADb&#10;AAAADwAAAGRycy9kb3ducmV2LnhtbEWPQWvCQBSE7wX/w/IEb3WTg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wt1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w10:wrap type="none"/>
                <w10:anchorlock/>
              </v:group>
            </w:pict>
          </mc:Fallback>
        </mc:AlternateContent>
      </w:r>
    </w:p>
    <w:p>
      <w:pPr>
        <w:pStyle w:val="8"/>
        <w:spacing w:before="12"/>
        <w:ind w:right="501"/>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续表B1</w:t>
      </w:r>
    </w:p>
    <w:p>
      <w:pPr>
        <w:pStyle w:val="8"/>
        <w:spacing w:before="10"/>
        <w:rPr>
          <w:rFonts w:ascii="黑体"/>
          <w:color w:val="000000" w:themeColor="text1"/>
          <w:sz w:val="13"/>
          <w:highlight w:val="none"/>
          <w14:textFill>
            <w14:solidFill>
              <w14:schemeClr w14:val="tx1"/>
            </w14:solidFill>
          </w14:textFill>
        </w:rPr>
      </w:pPr>
    </w:p>
    <w:tbl>
      <w:tblPr>
        <w:tblStyle w:val="14"/>
        <w:tblW w:w="957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5"/>
        <w:gridCol w:w="2288"/>
        <w:gridCol w:w="2429"/>
        <w:gridCol w:w="2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ICF 结构代码</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代表身体结构</w:t>
            </w:r>
          </w:p>
        </w:tc>
        <w:tc>
          <w:tcPr>
            <w:tcW w:w="2429"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ICF 功能代码</w:t>
            </w:r>
          </w:p>
        </w:tc>
        <w:tc>
          <w:tcPr>
            <w:tcW w:w="2571" w:type="dxa"/>
            <w:vAlign w:val="top"/>
          </w:tcPr>
          <w:p>
            <w:pPr>
              <w:pStyle w:val="24"/>
              <w:spacing w:before="38"/>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代表身体功能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s6100A</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孤肾</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285" w:type="dxa"/>
            <w:vAlign w:val="top"/>
          </w:tcPr>
          <w:p>
            <w:pPr>
              <w:pStyle w:val="24"/>
              <w:spacing w:before="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s6101</w:t>
            </w:r>
          </w:p>
        </w:tc>
        <w:tc>
          <w:tcPr>
            <w:tcW w:w="2288" w:type="dxa"/>
            <w:vAlign w:val="top"/>
          </w:tcPr>
          <w:p>
            <w:pPr>
              <w:pStyle w:val="24"/>
              <w:spacing w:before="40"/>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输尿管</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s6102</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膀胱</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s6103</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尿道</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s6301</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子宫的结构</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s6302</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乳房和乳头</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s63033</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阴道</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85" w:type="dxa"/>
            <w:vAlign w:val="top"/>
          </w:tcPr>
          <w:p>
            <w:pPr>
              <w:pStyle w:val="24"/>
              <w:spacing w:before="41"/>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s6304</w:t>
            </w:r>
          </w:p>
        </w:tc>
        <w:tc>
          <w:tcPr>
            <w:tcW w:w="2288" w:type="dxa"/>
            <w:vAlign w:val="top"/>
          </w:tcPr>
          <w:p>
            <w:pPr>
              <w:pStyle w:val="24"/>
              <w:spacing w:before="41"/>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睾丸</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s63051</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阴茎体</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s6308</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特指输精管</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s7100</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颅骨</w:t>
            </w:r>
          </w:p>
        </w:tc>
        <w:tc>
          <w:tcPr>
            <w:tcW w:w="2429"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b710</w:t>
            </w:r>
          </w:p>
        </w:tc>
        <w:tc>
          <w:tcPr>
            <w:tcW w:w="2571" w:type="dxa"/>
            <w:vAlign w:val="top"/>
          </w:tcPr>
          <w:p>
            <w:pPr>
              <w:pStyle w:val="24"/>
              <w:spacing w:before="38"/>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关节活动功能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s7101A</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上颌骨</w:t>
            </w:r>
          </w:p>
        </w:tc>
        <w:tc>
          <w:tcPr>
            <w:tcW w:w="2429"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b7100</w:t>
            </w:r>
          </w:p>
        </w:tc>
        <w:tc>
          <w:tcPr>
            <w:tcW w:w="2571" w:type="dxa"/>
            <w:vAlign w:val="top"/>
          </w:tcPr>
          <w:p>
            <w:pPr>
              <w:pStyle w:val="24"/>
              <w:spacing w:before="38"/>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单关节的活动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s7101B</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下颌骨</w:t>
            </w:r>
          </w:p>
        </w:tc>
        <w:tc>
          <w:tcPr>
            <w:tcW w:w="2429"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b7101</w:t>
            </w:r>
          </w:p>
        </w:tc>
        <w:tc>
          <w:tcPr>
            <w:tcW w:w="2571" w:type="dxa"/>
            <w:vAlign w:val="top"/>
          </w:tcPr>
          <w:p>
            <w:pPr>
              <w:pStyle w:val="24"/>
              <w:spacing w:before="38"/>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多关节的活动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285" w:type="dxa"/>
            <w:vAlign w:val="top"/>
          </w:tcPr>
          <w:p>
            <w:pPr>
              <w:pStyle w:val="24"/>
              <w:spacing w:before="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s7103A</w:t>
            </w:r>
          </w:p>
        </w:tc>
        <w:tc>
          <w:tcPr>
            <w:tcW w:w="2288" w:type="dxa"/>
            <w:vAlign w:val="top"/>
          </w:tcPr>
          <w:p>
            <w:pPr>
              <w:pStyle w:val="24"/>
              <w:spacing w:before="40"/>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颞下颌关节</w:t>
            </w:r>
          </w:p>
        </w:tc>
        <w:tc>
          <w:tcPr>
            <w:tcW w:w="2429" w:type="dxa"/>
            <w:vAlign w:val="top"/>
          </w:tcPr>
          <w:p>
            <w:pPr>
              <w:pStyle w:val="24"/>
              <w:spacing w:before="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b7301</w:t>
            </w:r>
          </w:p>
        </w:tc>
        <w:tc>
          <w:tcPr>
            <w:tcW w:w="2571" w:type="dxa"/>
            <w:vAlign w:val="top"/>
          </w:tcPr>
          <w:p>
            <w:pPr>
              <w:pStyle w:val="24"/>
              <w:spacing w:before="40"/>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单肢体肌肉的力量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s7108</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特指面部软组织</w:t>
            </w:r>
          </w:p>
        </w:tc>
        <w:tc>
          <w:tcPr>
            <w:tcW w:w="2429"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b7302</w:t>
            </w:r>
          </w:p>
        </w:tc>
        <w:tc>
          <w:tcPr>
            <w:tcW w:w="2571" w:type="dxa"/>
            <w:vAlign w:val="top"/>
          </w:tcPr>
          <w:p>
            <w:pPr>
              <w:pStyle w:val="24"/>
              <w:spacing w:before="38"/>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单侧身体肌肉的力量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s7201</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肩关节</w:t>
            </w:r>
          </w:p>
        </w:tc>
        <w:tc>
          <w:tcPr>
            <w:tcW w:w="2429"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b7303</w:t>
            </w:r>
          </w:p>
        </w:tc>
        <w:tc>
          <w:tcPr>
            <w:tcW w:w="2571" w:type="dxa"/>
            <w:vAlign w:val="top"/>
          </w:tcPr>
          <w:p>
            <w:pPr>
              <w:pStyle w:val="24"/>
              <w:spacing w:before="38"/>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下半身肌肉的力量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s730</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上肢的结构</w:t>
            </w:r>
          </w:p>
        </w:tc>
        <w:tc>
          <w:tcPr>
            <w:tcW w:w="2429"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b7304</w:t>
            </w:r>
          </w:p>
        </w:tc>
        <w:tc>
          <w:tcPr>
            <w:tcW w:w="2571" w:type="dxa"/>
            <w:vAlign w:val="top"/>
          </w:tcPr>
          <w:p>
            <w:pPr>
              <w:pStyle w:val="24"/>
              <w:spacing w:before="38"/>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四肢肌肉的力量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s73001</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肘关节</w:t>
            </w:r>
          </w:p>
        </w:tc>
        <w:tc>
          <w:tcPr>
            <w:tcW w:w="2429"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b760</w:t>
            </w:r>
          </w:p>
        </w:tc>
        <w:tc>
          <w:tcPr>
            <w:tcW w:w="2571" w:type="dxa"/>
            <w:vAlign w:val="top"/>
          </w:tcPr>
          <w:p>
            <w:pPr>
              <w:pStyle w:val="24"/>
              <w:spacing w:before="38"/>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随意运动控制功能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s73008A</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肱骨骺板</w:t>
            </w:r>
          </w:p>
        </w:tc>
        <w:tc>
          <w:tcPr>
            <w:tcW w:w="2429"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b7653</w:t>
            </w:r>
          </w:p>
        </w:tc>
        <w:tc>
          <w:tcPr>
            <w:tcW w:w="2571" w:type="dxa"/>
            <w:vAlign w:val="top"/>
          </w:tcPr>
          <w:p>
            <w:pPr>
              <w:pStyle w:val="24"/>
              <w:spacing w:before="38"/>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刻板运动和运动持续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85" w:type="dxa"/>
            <w:vAlign w:val="top"/>
          </w:tcPr>
          <w:p>
            <w:pPr>
              <w:pStyle w:val="24"/>
              <w:spacing w:before="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s73008B</w:t>
            </w:r>
          </w:p>
        </w:tc>
        <w:tc>
          <w:tcPr>
            <w:tcW w:w="2288" w:type="dxa"/>
            <w:vAlign w:val="top"/>
          </w:tcPr>
          <w:p>
            <w:pPr>
              <w:pStyle w:val="24"/>
              <w:spacing w:before="40"/>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尺骨骺板</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s73008C</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桡骨骺板</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s73011</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腕关节</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s7302</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手的结构</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s7400</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骨盆部骨</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s750</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下肢的结构</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85" w:type="dxa"/>
            <w:vAlign w:val="top"/>
          </w:tcPr>
          <w:p>
            <w:pPr>
              <w:pStyle w:val="24"/>
              <w:spacing w:before="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s75001</w:t>
            </w:r>
          </w:p>
        </w:tc>
        <w:tc>
          <w:tcPr>
            <w:tcW w:w="2288" w:type="dxa"/>
            <w:vAlign w:val="top"/>
          </w:tcPr>
          <w:p>
            <w:pPr>
              <w:pStyle w:val="24"/>
              <w:spacing w:before="40"/>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髋关节</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s75008A</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股骨骺板</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s75008B</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胫骨骺板</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s75008C</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腓骨骺板</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85" w:type="dxa"/>
            <w:vAlign w:val="top"/>
          </w:tcPr>
          <w:p>
            <w:pPr>
              <w:pStyle w:val="24"/>
              <w:spacing w:before="3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s75011</w:t>
            </w:r>
          </w:p>
        </w:tc>
        <w:tc>
          <w:tcPr>
            <w:tcW w:w="2288" w:type="dxa"/>
            <w:vAlign w:val="top"/>
          </w:tcPr>
          <w:p>
            <w:pPr>
              <w:pStyle w:val="24"/>
              <w:spacing w:before="39"/>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膝关节</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s75020A</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全部足趾</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285" w:type="dxa"/>
            <w:vAlign w:val="top"/>
          </w:tcPr>
          <w:p>
            <w:pPr>
              <w:pStyle w:val="24"/>
              <w:spacing w:before="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ICF 结构代码</w:t>
            </w:r>
          </w:p>
        </w:tc>
        <w:tc>
          <w:tcPr>
            <w:tcW w:w="2288" w:type="dxa"/>
            <w:vAlign w:val="top"/>
          </w:tcPr>
          <w:p>
            <w:pPr>
              <w:pStyle w:val="24"/>
              <w:spacing w:before="40"/>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代表身体结构</w:t>
            </w:r>
          </w:p>
        </w:tc>
        <w:tc>
          <w:tcPr>
            <w:tcW w:w="2429" w:type="dxa"/>
            <w:vAlign w:val="top"/>
          </w:tcPr>
          <w:p>
            <w:pPr>
              <w:pStyle w:val="24"/>
              <w:spacing w:before="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ICF 功能代码</w:t>
            </w:r>
          </w:p>
        </w:tc>
        <w:tc>
          <w:tcPr>
            <w:tcW w:w="2571" w:type="dxa"/>
            <w:vAlign w:val="top"/>
          </w:tcPr>
          <w:p>
            <w:pPr>
              <w:pStyle w:val="24"/>
              <w:spacing w:before="40"/>
              <w:ind w:left="10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代表身体功能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s75021</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踝关节</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s75021A</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跗跖关节</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s75028A</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足弓</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s760</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躯干的结构</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s76000</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颈椎</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285" w:type="dxa"/>
            <w:vAlign w:val="top"/>
          </w:tcPr>
          <w:p>
            <w:pPr>
              <w:pStyle w:val="24"/>
              <w:spacing w:before="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s76002</w:t>
            </w:r>
          </w:p>
        </w:tc>
        <w:tc>
          <w:tcPr>
            <w:tcW w:w="2288" w:type="dxa"/>
            <w:vAlign w:val="top"/>
          </w:tcPr>
          <w:p>
            <w:pPr>
              <w:pStyle w:val="24"/>
              <w:spacing w:before="40"/>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腰椎</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s7701A</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髋臼</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bl>
    <w:p>
      <w:pPr>
        <w:rPr>
          <w:color w:val="000000" w:themeColor="text1"/>
          <w:sz w:val="18"/>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4"/>
        <w:rPr>
          <w:rFonts w:ascii="黑体"/>
          <w:color w:val="000000" w:themeColor="text1"/>
          <w:sz w:val="18"/>
          <w:highlight w:val="none"/>
          <w14:textFill>
            <w14:solidFill>
              <w14:schemeClr w14:val="tx1"/>
            </w14:solidFill>
          </w14:textFill>
        </w:rPr>
      </w:pPr>
    </w:p>
    <w:p>
      <w:pPr>
        <w:pStyle w:val="8"/>
        <w:spacing w:line="20" w:lineRule="exact"/>
        <w:ind w:left="383"/>
        <w:rPr>
          <w:rFonts w:ascii="黑体"/>
          <w:color w:val="000000" w:themeColor="text1"/>
          <w:sz w:val="2"/>
          <w:highlight w:val="none"/>
          <w14:textFill>
            <w14:solidFill>
              <w14:schemeClr w14:val="tx1"/>
            </w14:solidFill>
          </w14:textFill>
        </w:rPr>
      </w:pPr>
      <w:r>
        <w:rPr>
          <w:rFonts w:ascii="黑体"/>
          <w:color w:val="000000" w:themeColor="text1"/>
          <w:sz w:val="2"/>
          <w:highlight w:val="none"/>
          <w:lang w:val="en-US" w:bidi="ar-SA"/>
          <w14:textFill>
            <w14:solidFill>
              <w14:schemeClr w14:val="tx1"/>
            </w14:solidFill>
          </w14:textFill>
        </w:rPr>
        <mc:AlternateContent>
          <mc:Choice Requires="wpg">
            <w:drawing>
              <wp:inline distT="0" distB="0" distL="114300" distR="114300">
                <wp:extent cx="6079490" cy="6350"/>
                <wp:effectExtent l="0" t="0" r="0" b="0"/>
                <wp:docPr id="98" name="组合 98"/>
                <wp:cNvGraphicFramePr/>
                <a:graphic xmlns:a="http://schemas.openxmlformats.org/drawingml/2006/main">
                  <a:graphicData uri="http://schemas.microsoft.com/office/word/2010/wordprocessingGroup">
                    <wpg:wgp>
                      <wpg:cNvGrpSpPr>
                        <a:grpSpLocks noRot="1"/>
                      </wpg:cNvGrpSpPr>
                      <wpg:grpSpPr>
                        <a:xfrm>
                          <a:off x="0" y="0"/>
                          <a:ext cx="6079490" cy="6350"/>
                          <a:chOff x="0" y="0"/>
                          <a:chExt cx="9574" cy="0"/>
                        </a:xfrm>
                      </wpg:grpSpPr>
                      <wps:wsp>
                        <wps:cNvPr id="97" name="直接连接符 97"/>
                        <wps:cNvCnPr/>
                        <wps:spPr>
                          <a:xfrm>
                            <a:off x="0" y="0"/>
                            <a:ext cx="9574"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5pt;width:478.7pt;" coordsize="9574,0" o:gfxdata="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uEs&#10;sdQAAAADAQAADwAAAAAAAAABACAAAAAiAAAAZHJzL2Rvd25yZXYueG1sUEsBAhQAFAAAAAgAh07i&#10;QE9j8VZfAgAAMwUAAA4AAAAAAAAAAQAgAAAAIwEAAGRycy9lMm9Eb2MueG1sUEsFBgAAAAAGAAYA&#10;WQEAAPQFAAAAAA==&#10;">
                <o:lock v:ext="edit" rotation="t" aspectratio="f"/>
                <v:line id="_x0000_s1026" o:spid="_x0000_s1026" o:spt="20" style="position:absolute;left:0;top:0;height:0;width:9574;" filled="f" stroked="t" coordsize="21600,21600" o:gfxdata="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ghY5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none"/>
                <w10:anchorlock/>
              </v:group>
            </w:pict>
          </mc:Fallback>
        </mc:AlternateContent>
      </w:r>
    </w:p>
    <w:p>
      <w:pPr>
        <w:pStyle w:val="8"/>
        <w:spacing w:before="12"/>
        <w:ind w:left="65" w:right="2"/>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续表B1</w:t>
      </w:r>
    </w:p>
    <w:p>
      <w:pPr>
        <w:pStyle w:val="8"/>
        <w:spacing w:before="10"/>
        <w:rPr>
          <w:rFonts w:ascii="黑体"/>
          <w:color w:val="000000" w:themeColor="text1"/>
          <w:sz w:val="13"/>
          <w:highlight w:val="none"/>
          <w14:textFill>
            <w14:solidFill>
              <w14:schemeClr w14:val="tx1"/>
            </w14:solidFill>
          </w14:textFill>
        </w:rPr>
      </w:pPr>
    </w:p>
    <w:tbl>
      <w:tblPr>
        <w:tblStyle w:val="14"/>
        <w:tblW w:w="9573"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5"/>
        <w:gridCol w:w="2288"/>
        <w:gridCol w:w="2429"/>
        <w:gridCol w:w="2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ICF 结构代码</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代表身体结构</w:t>
            </w:r>
          </w:p>
        </w:tc>
        <w:tc>
          <w:tcPr>
            <w:tcW w:w="2429"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ICF 功能代码</w:t>
            </w:r>
          </w:p>
        </w:tc>
        <w:tc>
          <w:tcPr>
            <w:tcW w:w="2571"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代表身体功能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各部位皮肤的结构</w:t>
            </w:r>
          </w:p>
        </w:tc>
        <w:tc>
          <w:tcPr>
            <w:tcW w:w="2429"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b820</w:t>
            </w:r>
          </w:p>
        </w:tc>
        <w:tc>
          <w:tcPr>
            <w:tcW w:w="2571"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皮肤的修复功能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285" w:type="dxa"/>
            <w:vAlign w:val="top"/>
          </w:tcPr>
          <w:p>
            <w:pPr>
              <w:pStyle w:val="24"/>
              <w:spacing w:before="4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s8100</w:t>
            </w:r>
          </w:p>
        </w:tc>
        <w:tc>
          <w:tcPr>
            <w:tcW w:w="2288" w:type="dxa"/>
            <w:vAlign w:val="top"/>
          </w:tcPr>
          <w:p>
            <w:pPr>
              <w:pStyle w:val="24"/>
              <w:spacing w:before="40"/>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头颈部皮肤</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s8100A</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头皮</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s8100B</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面部皮肤</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s8102</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上肢皮肤</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s8104</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下肢皮肤</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85" w:type="dxa"/>
            <w:vAlign w:val="top"/>
          </w:tcPr>
          <w:p>
            <w:pPr>
              <w:pStyle w:val="24"/>
              <w:spacing w:before="38"/>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s8105</w:t>
            </w:r>
          </w:p>
        </w:tc>
        <w:tc>
          <w:tcPr>
            <w:tcW w:w="2288" w:type="dxa"/>
            <w:vAlign w:val="top"/>
          </w:tcPr>
          <w:p>
            <w:pPr>
              <w:pStyle w:val="24"/>
              <w:spacing w:before="38"/>
              <w:ind w:left="11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躯干和背部皮肤</w:t>
            </w:r>
          </w:p>
        </w:tc>
        <w:tc>
          <w:tcPr>
            <w:tcW w:w="2429" w:type="dxa"/>
            <w:vAlign w:val="top"/>
          </w:tcPr>
          <w:p>
            <w:pPr>
              <w:pStyle w:val="24"/>
              <w:spacing w:before="0"/>
              <w:ind w:left="0"/>
              <w:rPr>
                <w:rFonts w:ascii="Times New Roman"/>
                <w:color w:val="000000" w:themeColor="text1"/>
                <w:sz w:val="18"/>
                <w:highlight w:val="none"/>
                <w14:textFill>
                  <w14:solidFill>
                    <w14:schemeClr w14:val="tx1"/>
                  </w14:solidFill>
                </w14:textFill>
              </w:rPr>
            </w:pPr>
          </w:p>
        </w:tc>
        <w:tc>
          <w:tcPr>
            <w:tcW w:w="2571" w:type="dxa"/>
            <w:vAlign w:val="top"/>
          </w:tcPr>
          <w:p>
            <w:pPr>
              <w:pStyle w:val="24"/>
              <w:spacing w:before="0"/>
              <w:ind w:left="0"/>
              <w:rPr>
                <w:rFonts w:ascii="Times New Roman"/>
                <w:color w:val="000000" w:themeColor="text1"/>
                <w:sz w:val="18"/>
                <w:highlight w:val="none"/>
                <w14:textFill>
                  <w14:solidFill>
                    <w14:schemeClr w14:val="tx1"/>
                  </w14:solidFill>
                </w14:textFill>
              </w:rPr>
            </w:pPr>
          </w:p>
        </w:tc>
      </w:tr>
    </w:tbl>
    <w:p>
      <w:pPr>
        <w:rPr>
          <w:color w:val="000000" w:themeColor="text1"/>
          <w:sz w:val="18"/>
          <w:highlight w:val="none"/>
          <w14:textFill>
            <w14:solidFill>
              <w14:schemeClr w14:val="tx1"/>
            </w14:solidFill>
          </w14:textFill>
        </w:rPr>
        <w:sectPr>
          <w:pgSz w:w="11910" w:h="16840"/>
          <w:pgMar w:top="1660" w:right="700" w:bottom="1340" w:left="920" w:header="1441" w:footer="1140" w:gutter="0"/>
          <w:cols w:space="720" w:num="1"/>
        </w:sectPr>
      </w:pPr>
    </w:p>
    <w:p>
      <w:pPr>
        <w:pStyle w:val="8"/>
        <w:spacing w:before="7"/>
        <w:jc w:val="right"/>
        <w:rPr>
          <w:rFonts w:ascii="黑体"/>
          <w:color w:val="000000" w:themeColor="text1"/>
          <w:sz w:val="14"/>
          <w:highlight w:val="none"/>
          <w14:textFill>
            <w14:solidFill>
              <w14:schemeClr w14:val="tx1"/>
            </w14:solidFill>
          </w14:textFill>
        </w:rPr>
      </w:pPr>
    </w:p>
    <w:p>
      <w:pPr>
        <w:pStyle w:val="8"/>
        <w:spacing w:before="72"/>
        <w:ind w:right="499"/>
        <w:jc w:val="center"/>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参考文献</w:t>
      </w:r>
    </w:p>
    <w:p>
      <w:pPr>
        <w:pStyle w:val="20"/>
        <w:numPr>
          <w:ilvl w:val="0"/>
          <w:numId w:val="22"/>
        </w:numPr>
        <w:tabs>
          <w:tab w:val="left" w:pos="738"/>
          <w:tab w:val="left" w:pos="739"/>
        </w:tabs>
        <w:autoSpaceDE w:val="0"/>
        <w:autoSpaceDN w:val="0"/>
        <w:spacing w:before="81" w:after="0"/>
        <w:ind w:hanging="526"/>
        <w:jc w:val="left"/>
        <w:rPr>
          <w:rFonts w:ascii="宋体"/>
          <w:color w:val="000000" w:themeColor="text1"/>
          <w:highlight w:val="none"/>
          <w14:textFill>
            <w14:solidFill>
              <w14:schemeClr w14:val="tx1"/>
            </w14:solidFill>
          </w14:textFill>
        </w:rPr>
      </w:pPr>
      <w:r>
        <w:rPr>
          <w:rFonts w:hint="eastAsia" w:ascii="宋体"/>
          <w:color w:val="000000" w:themeColor="text1"/>
          <w:spacing w:val="-3"/>
          <w:highlight w:val="none"/>
          <w14:textFill>
            <w14:solidFill>
              <w14:schemeClr w14:val="tx1"/>
            </w14:solidFill>
          </w14:textFill>
        </w:rPr>
        <w:t>国际功能、残疾和健康分类</w:t>
      </w:r>
    </w:p>
    <w:p>
      <w:pPr>
        <w:pStyle w:val="20"/>
        <w:numPr>
          <w:ilvl w:val="0"/>
          <w:numId w:val="22"/>
        </w:numPr>
        <w:tabs>
          <w:tab w:val="left" w:pos="741"/>
          <w:tab w:val="left" w:pos="742"/>
          <w:tab w:val="left" w:pos="2524"/>
        </w:tabs>
        <w:autoSpaceDE w:val="0"/>
        <w:autoSpaceDN w:val="0"/>
        <w:spacing w:before="120" w:after="0"/>
        <w:ind w:left="741" w:hanging="529"/>
        <w:jc w:val="left"/>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GB/T</w:t>
      </w:r>
      <w:r>
        <w:rPr>
          <w:rFonts w:hint="eastAsia" w:ascii="宋体"/>
          <w:color w:val="000000" w:themeColor="text1"/>
          <w:spacing w:val="-3"/>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16180-2006</w:t>
      </w:r>
      <w:r>
        <w:rPr>
          <w:rFonts w:hint="eastAsia" w:ascii="宋体"/>
          <w:color w:val="000000" w:themeColor="text1"/>
          <w:highlight w:val="none"/>
          <w14:textFill>
            <w14:solidFill>
              <w14:schemeClr w14:val="tx1"/>
            </w14:solidFill>
          </w14:textFill>
        </w:rPr>
        <w:tab/>
      </w:r>
      <w:r>
        <w:rPr>
          <w:rFonts w:hint="eastAsia" w:ascii="宋体"/>
          <w:color w:val="000000" w:themeColor="text1"/>
          <w:spacing w:val="-3"/>
          <w:highlight w:val="none"/>
          <w14:textFill>
            <w14:solidFill>
              <w14:schemeClr w14:val="tx1"/>
            </w14:solidFill>
          </w14:textFill>
        </w:rPr>
        <w:t>劳动能力鉴定，职工工伤与职业病致残等级</w:t>
      </w:r>
    </w:p>
    <w:p>
      <w:pPr>
        <w:pStyle w:val="20"/>
        <w:numPr>
          <w:ilvl w:val="0"/>
          <w:numId w:val="22"/>
        </w:numPr>
        <w:tabs>
          <w:tab w:val="left" w:pos="741"/>
          <w:tab w:val="left" w:pos="742"/>
          <w:tab w:val="left" w:pos="2315"/>
        </w:tabs>
        <w:autoSpaceDE w:val="0"/>
        <w:autoSpaceDN w:val="0"/>
        <w:spacing w:before="122" w:after="0"/>
        <w:ind w:left="741" w:hanging="529"/>
        <w:jc w:val="left"/>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GB</w:t>
      </w:r>
      <w:r>
        <w:rPr>
          <w:rFonts w:hint="eastAsia" w:ascii="宋体"/>
          <w:color w:val="000000" w:themeColor="text1"/>
          <w:spacing w:val="-2"/>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18667-2002</w:t>
      </w:r>
      <w:r>
        <w:rPr>
          <w:rFonts w:hint="eastAsia" w:ascii="宋体"/>
          <w:color w:val="000000" w:themeColor="text1"/>
          <w:highlight w:val="none"/>
          <w14:textFill>
            <w14:solidFill>
              <w14:schemeClr w14:val="tx1"/>
            </w14:solidFill>
          </w14:textFill>
        </w:rPr>
        <w:tab/>
      </w:r>
      <w:r>
        <w:rPr>
          <w:rFonts w:hint="eastAsia" w:ascii="宋体"/>
          <w:color w:val="000000" w:themeColor="text1"/>
          <w:spacing w:val="-3"/>
          <w:highlight w:val="none"/>
          <w14:textFill>
            <w14:solidFill>
              <w14:schemeClr w14:val="tx1"/>
            </w14:solidFill>
          </w14:textFill>
        </w:rPr>
        <w:t>道路交通事故受伤人员伤残评定标准</w:t>
      </w:r>
    </w:p>
    <w:p>
      <w:pPr>
        <w:pStyle w:val="20"/>
        <w:numPr>
          <w:ilvl w:val="0"/>
          <w:numId w:val="22"/>
        </w:numPr>
        <w:tabs>
          <w:tab w:val="left" w:pos="741"/>
          <w:tab w:val="left" w:pos="742"/>
        </w:tabs>
        <w:autoSpaceDE w:val="0"/>
        <w:autoSpaceDN w:val="0"/>
        <w:spacing w:before="120" w:after="0"/>
        <w:ind w:left="741" w:hanging="529"/>
        <w:jc w:val="left"/>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GB/T</w:t>
      </w:r>
      <w:r>
        <w:rPr>
          <w:rFonts w:hint="eastAsia" w:ascii="宋体"/>
          <w:color w:val="000000" w:themeColor="text1"/>
          <w:spacing w:val="-2"/>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26341-2010</w:t>
      </w:r>
      <w:r>
        <w:rPr>
          <w:rFonts w:hint="eastAsia" w:ascii="宋体"/>
          <w:color w:val="000000" w:themeColor="text1"/>
          <w:spacing w:val="-3"/>
          <w:highlight w:val="none"/>
          <w14:textFill>
            <w14:solidFill>
              <w14:schemeClr w14:val="tx1"/>
            </w14:solidFill>
          </w14:textFill>
        </w:rPr>
        <w:t xml:space="preserve"> 残疾人残疾分类和分级</w:t>
      </w:r>
    </w:p>
    <w:p>
      <w:pPr>
        <w:pStyle w:val="20"/>
        <w:numPr>
          <w:ilvl w:val="0"/>
          <w:numId w:val="22"/>
        </w:numPr>
        <w:tabs>
          <w:tab w:val="left" w:pos="738"/>
          <w:tab w:val="left" w:pos="739"/>
        </w:tabs>
        <w:autoSpaceDE w:val="0"/>
        <w:autoSpaceDN w:val="0"/>
        <w:spacing w:before="122" w:after="0"/>
        <w:ind w:hanging="526"/>
        <w:jc w:val="left"/>
        <w:rPr>
          <w:rFonts w:ascii="宋体"/>
          <w:color w:val="000000" w:themeColor="text1"/>
          <w:highlight w:val="none"/>
          <w14:textFill>
            <w14:solidFill>
              <w14:schemeClr w14:val="tx1"/>
            </w14:solidFill>
          </w14:textFill>
        </w:rPr>
      </w:pPr>
      <w:r>
        <w:rPr>
          <w:rFonts w:hint="eastAsia" w:ascii="宋体"/>
          <w:color w:val="000000" w:themeColor="text1"/>
          <w:spacing w:val="-3"/>
          <w:highlight w:val="none"/>
          <w14:textFill>
            <w14:solidFill>
              <w14:schemeClr w14:val="tx1"/>
            </w14:solidFill>
          </w14:textFill>
        </w:rPr>
        <w:t>军人残疾等级评定标准</w:t>
      </w:r>
      <w:r>
        <w:rPr>
          <w:rFonts w:hint="eastAsia" w:ascii="宋体"/>
          <w:color w:val="000000" w:themeColor="text1"/>
          <w:highlight w:val="none"/>
          <w14:textFill>
            <w14:solidFill>
              <w14:schemeClr w14:val="tx1"/>
            </w14:solidFill>
          </w14:textFill>
        </w:rPr>
        <w:t>（</w:t>
      </w:r>
      <w:r>
        <w:rPr>
          <w:rFonts w:hint="eastAsia" w:ascii="宋体"/>
          <w:color w:val="000000" w:themeColor="text1"/>
          <w:spacing w:val="-2"/>
          <w:highlight w:val="none"/>
          <w14:textFill>
            <w14:solidFill>
              <w14:schemeClr w14:val="tx1"/>
            </w14:solidFill>
          </w14:textFill>
        </w:rPr>
        <w:t>试行</w:t>
      </w:r>
      <w:r>
        <w:rPr>
          <w:rFonts w:hint="eastAsia" w:ascii="宋体"/>
          <w:color w:val="000000" w:themeColor="text1"/>
          <w:highlight w:val="none"/>
          <w14:textFill>
            <w14:solidFill>
              <w14:schemeClr w14:val="tx1"/>
            </w14:solidFill>
          </w14:textFill>
        </w:rPr>
        <w:t>）</w:t>
      </w:r>
    </w:p>
    <w:p>
      <w:pPr>
        <w:pStyle w:val="20"/>
        <w:numPr>
          <w:ilvl w:val="0"/>
          <w:numId w:val="22"/>
        </w:numPr>
        <w:tabs>
          <w:tab w:val="left" w:pos="738"/>
          <w:tab w:val="left" w:pos="739"/>
        </w:tabs>
        <w:autoSpaceDE w:val="0"/>
        <w:autoSpaceDN w:val="0"/>
        <w:spacing w:before="119" w:after="0"/>
        <w:ind w:hanging="526"/>
        <w:jc w:val="left"/>
        <w:rPr>
          <w:rFonts w:ascii="宋体"/>
          <w:color w:val="000000" w:themeColor="text1"/>
          <w:highlight w:val="none"/>
          <w14:textFill>
            <w14:solidFill>
              <w14:schemeClr w14:val="tx1"/>
            </w14:solidFill>
          </w14:textFill>
        </w:rPr>
      </w:pPr>
      <w:r>
        <w:rPr>
          <w:rFonts w:hint="eastAsia" w:ascii="宋体"/>
          <w:color w:val="000000" w:themeColor="text1"/>
          <w:spacing w:val="-3"/>
          <w:highlight w:val="none"/>
          <w14:textFill>
            <w14:solidFill>
              <w14:schemeClr w14:val="tx1"/>
            </w14:solidFill>
          </w14:textFill>
        </w:rPr>
        <w:t>国家队运动员伤残保险事故程度分级标准</w:t>
      </w:r>
    </w:p>
    <w:p>
      <w:pPr>
        <w:pStyle w:val="20"/>
        <w:numPr>
          <w:ilvl w:val="0"/>
          <w:numId w:val="22"/>
        </w:numPr>
        <w:tabs>
          <w:tab w:val="left" w:pos="738"/>
          <w:tab w:val="left" w:pos="739"/>
        </w:tabs>
        <w:autoSpaceDE w:val="0"/>
        <w:autoSpaceDN w:val="0"/>
        <w:spacing w:before="123" w:after="0"/>
        <w:ind w:hanging="526"/>
        <w:jc w:val="left"/>
        <w:rPr>
          <w:rFonts w:ascii="宋体"/>
          <w:color w:val="000000" w:themeColor="text1"/>
          <w:highlight w:val="none"/>
          <w14:textFill>
            <w14:solidFill>
              <w14:schemeClr w14:val="tx1"/>
            </w14:solidFill>
          </w14:textFill>
        </w:rPr>
      </w:pPr>
      <w:r>
        <w:rPr>
          <w:rFonts w:hint="eastAsia" w:ascii="宋体"/>
          <w:color w:val="000000" w:themeColor="text1"/>
          <w:spacing w:val="-3"/>
          <w:highlight w:val="none"/>
          <w14:textFill>
            <w14:solidFill>
              <w14:schemeClr w14:val="tx1"/>
            </w14:solidFill>
          </w14:textFill>
        </w:rPr>
        <w:t>运动创伤与运动致病事故程度分级标准</w:t>
      </w:r>
    </w:p>
    <w:p>
      <w:pPr>
        <w:pStyle w:val="20"/>
        <w:numPr>
          <w:ilvl w:val="0"/>
          <w:numId w:val="22"/>
        </w:numPr>
        <w:tabs>
          <w:tab w:val="left" w:pos="738"/>
          <w:tab w:val="left" w:pos="739"/>
        </w:tabs>
        <w:autoSpaceDE w:val="0"/>
        <w:autoSpaceDN w:val="0"/>
        <w:spacing w:before="120" w:after="0"/>
        <w:ind w:hanging="526"/>
        <w:jc w:val="left"/>
        <w:rPr>
          <w:rFonts w:ascii="宋体"/>
          <w:color w:val="000000" w:themeColor="text1"/>
          <w:highlight w:val="none"/>
          <w14:textFill>
            <w14:solidFill>
              <w14:schemeClr w14:val="tx1"/>
            </w14:solidFill>
          </w14:textFill>
        </w:rPr>
      </w:pPr>
      <w:r>
        <w:rPr>
          <w:rFonts w:hint="eastAsia" w:ascii="宋体"/>
          <w:color w:val="000000" w:themeColor="text1"/>
          <w:spacing w:val="-3"/>
          <w:highlight w:val="none"/>
          <w14:textFill>
            <w14:solidFill>
              <w14:schemeClr w14:val="tx1"/>
            </w14:solidFill>
          </w14:textFill>
        </w:rPr>
        <w:t>人体轻微伤的鉴定</w:t>
      </w:r>
    </w:p>
    <w:p>
      <w:pPr>
        <w:pStyle w:val="20"/>
        <w:numPr>
          <w:ilvl w:val="0"/>
          <w:numId w:val="22"/>
        </w:numPr>
        <w:tabs>
          <w:tab w:val="left" w:pos="738"/>
          <w:tab w:val="left" w:pos="739"/>
        </w:tabs>
        <w:autoSpaceDE w:val="0"/>
        <w:autoSpaceDN w:val="0"/>
        <w:spacing w:before="122" w:after="0"/>
        <w:ind w:hanging="526"/>
        <w:jc w:val="left"/>
        <w:rPr>
          <w:rFonts w:ascii="宋体"/>
          <w:color w:val="000000" w:themeColor="text1"/>
          <w:highlight w:val="none"/>
          <w14:textFill>
            <w14:solidFill>
              <w14:schemeClr w14:val="tx1"/>
            </w14:solidFill>
          </w14:textFill>
        </w:rPr>
      </w:pPr>
      <w:r>
        <w:rPr>
          <w:rFonts w:hint="eastAsia" w:ascii="宋体"/>
          <w:color w:val="000000" w:themeColor="text1"/>
          <w:spacing w:val="-3"/>
          <w:highlight w:val="none"/>
          <w14:textFill>
            <w14:solidFill>
              <w14:schemeClr w14:val="tx1"/>
            </w14:solidFill>
          </w14:textFill>
        </w:rPr>
        <w:t>人体重伤鉴定标准</w:t>
      </w:r>
    </w:p>
    <w:p>
      <w:pPr>
        <w:pStyle w:val="20"/>
        <w:numPr>
          <w:ilvl w:val="0"/>
          <w:numId w:val="22"/>
        </w:numPr>
        <w:tabs>
          <w:tab w:val="left" w:pos="739"/>
        </w:tabs>
        <w:autoSpaceDE w:val="0"/>
        <w:autoSpaceDN w:val="0"/>
        <w:spacing w:before="120" w:after="0"/>
        <w:ind w:hanging="526"/>
        <w:jc w:val="left"/>
        <w:rPr>
          <w:rFonts w:ascii="宋体"/>
          <w:color w:val="000000" w:themeColor="text1"/>
          <w:highlight w:val="none"/>
          <w14:textFill>
            <w14:solidFill>
              <w14:schemeClr w14:val="tx1"/>
            </w14:solidFill>
          </w14:textFill>
        </w:rPr>
      </w:pPr>
      <w:r>
        <w:rPr>
          <w:rFonts w:hint="eastAsia" w:ascii="宋体"/>
          <w:color w:val="000000" w:themeColor="text1"/>
          <w:spacing w:val="-3"/>
          <w:highlight w:val="none"/>
          <w14:textFill>
            <w14:solidFill>
              <w14:schemeClr w14:val="tx1"/>
            </w14:solidFill>
          </w14:textFill>
        </w:rPr>
        <w:t>北京市《人体损伤致残疾程度鉴定标准》</w:t>
      </w:r>
    </w:p>
    <w:p>
      <w:pPr>
        <w:pStyle w:val="20"/>
        <w:numPr>
          <w:ilvl w:val="0"/>
          <w:numId w:val="22"/>
        </w:numPr>
        <w:tabs>
          <w:tab w:val="left" w:pos="844"/>
          <w:tab w:val="left" w:pos="845"/>
        </w:tabs>
        <w:autoSpaceDE w:val="0"/>
        <w:autoSpaceDN w:val="0"/>
        <w:spacing w:before="122" w:after="0"/>
        <w:ind w:left="844" w:hanging="632"/>
        <w:jc w:val="left"/>
        <w:rPr>
          <w:rFonts w:ascii="宋体"/>
          <w:color w:val="000000" w:themeColor="text1"/>
          <w:highlight w:val="none"/>
          <w14:textFill>
            <w14:solidFill>
              <w14:schemeClr w14:val="tx1"/>
            </w14:solidFill>
          </w14:textFill>
        </w:rPr>
      </w:pPr>
      <w:r>
        <w:rPr>
          <w:rFonts w:hint="eastAsia" w:ascii="宋体"/>
          <w:color w:val="000000" w:themeColor="text1"/>
          <w:spacing w:val="-3"/>
          <w:highlight w:val="none"/>
          <w14:textFill>
            <w14:solidFill>
              <w14:schemeClr w14:val="tx1"/>
            </w14:solidFill>
          </w14:textFill>
        </w:rPr>
        <w:t>人身保险意外伤害残疾给付标准</w:t>
      </w:r>
    </w:p>
    <w:p>
      <w:pPr>
        <w:pStyle w:val="20"/>
        <w:numPr>
          <w:ilvl w:val="0"/>
          <w:numId w:val="22"/>
        </w:numPr>
        <w:tabs>
          <w:tab w:val="left" w:pos="844"/>
          <w:tab w:val="left" w:pos="845"/>
        </w:tabs>
        <w:autoSpaceDE w:val="0"/>
        <w:autoSpaceDN w:val="0"/>
        <w:spacing w:before="120" w:after="0"/>
        <w:ind w:left="844" w:hanging="632"/>
        <w:jc w:val="left"/>
        <w:rPr>
          <w:rFonts w:ascii="宋体"/>
          <w:color w:val="000000" w:themeColor="text1"/>
          <w:highlight w:val="none"/>
          <w14:textFill>
            <w14:solidFill>
              <w14:schemeClr w14:val="tx1"/>
            </w14:solidFill>
          </w14:textFill>
        </w:rPr>
      </w:pPr>
      <w:r>
        <w:rPr>
          <w:rFonts w:hint="eastAsia" w:ascii="宋体"/>
          <w:color w:val="000000" w:themeColor="text1"/>
          <w:spacing w:val="-3"/>
          <w:highlight w:val="none"/>
          <w14:textFill>
            <w14:solidFill>
              <w14:schemeClr w14:val="tx1"/>
            </w14:solidFill>
          </w14:textFill>
        </w:rPr>
        <w:t>欧盟残疾评定量表</w:t>
      </w:r>
    </w:p>
    <w:p>
      <w:pPr>
        <w:pStyle w:val="20"/>
        <w:numPr>
          <w:ilvl w:val="0"/>
          <w:numId w:val="22"/>
        </w:numPr>
        <w:tabs>
          <w:tab w:val="left" w:pos="844"/>
          <w:tab w:val="left" w:pos="845"/>
        </w:tabs>
        <w:autoSpaceDE w:val="0"/>
        <w:autoSpaceDN w:val="0"/>
        <w:spacing w:before="122" w:after="0"/>
        <w:ind w:left="844" w:hanging="632"/>
        <w:jc w:val="left"/>
        <w:rPr>
          <w:rFonts w:ascii="宋体"/>
          <w:color w:val="000000" w:themeColor="text1"/>
          <w:highlight w:val="none"/>
          <w14:textFill>
            <w14:solidFill>
              <w14:schemeClr w14:val="tx1"/>
            </w14:solidFill>
          </w14:textFill>
        </w:rPr>
      </w:pPr>
      <w:r>
        <w:rPr>
          <w:rFonts w:hint="eastAsia" w:ascii="宋体"/>
          <w:color w:val="000000" w:themeColor="text1"/>
          <w:spacing w:val="-3"/>
          <w:highlight w:val="none"/>
          <w14:textFill>
            <w14:solidFill>
              <w14:schemeClr w14:val="tx1"/>
            </w14:solidFill>
          </w14:textFill>
        </w:rPr>
        <w:t>台湾新版《残疾程度与保险金给付表》</w:t>
      </w:r>
    </w:p>
    <w:p>
      <w:pPr>
        <w:pStyle w:val="8"/>
        <w:rPr>
          <w:color w:val="000000" w:themeColor="text1"/>
          <w:sz w:val="20"/>
          <w:highlight w:val="none"/>
          <w14:textFill>
            <w14:solidFill>
              <w14:schemeClr w14:val="tx1"/>
            </w14:solidFill>
          </w14:textFill>
        </w:rPr>
      </w:pPr>
    </w:p>
    <w:p>
      <w:pPr>
        <w:pStyle w:val="8"/>
        <w:rPr>
          <w:color w:val="000000" w:themeColor="text1"/>
          <w:sz w:val="20"/>
          <w:highlight w:val="none"/>
          <w14:textFill>
            <w14:solidFill>
              <w14:schemeClr w14:val="tx1"/>
            </w14:solidFill>
          </w14:textFill>
        </w:rPr>
      </w:pPr>
    </w:p>
    <w:p>
      <w:pPr>
        <w:pStyle w:val="8"/>
        <w:rPr>
          <w:color w:val="000000" w:themeColor="text1"/>
          <w:sz w:val="20"/>
          <w:highlight w:val="none"/>
          <w14:textFill>
            <w14:solidFill>
              <w14:schemeClr w14:val="tx1"/>
            </w14:solidFill>
          </w14:textFill>
        </w:rPr>
      </w:pPr>
    </w:p>
    <w:p>
      <w:pPr>
        <w:pStyle w:val="8"/>
        <w:spacing w:before="10"/>
        <w:rPr>
          <w:color w:val="000000" w:themeColor="text1"/>
          <w:sz w:val="27"/>
          <w:highlight w:val="none"/>
          <w14:textFill>
            <w14:solidFill>
              <w14:schemeClr w14:val="tx1"/>
            </w14:solidFill>
          </w14:textFill>
        </w:rPr>
      </w:pPr>
      <w:r>
        <w:rPr>
          <w:color w:val="000000" w:themeColor="text1"/>
          <w:highlight w:val="none"/>
          <w:lang w:val="en-US" w:bidi="ar-SA"/>
          <w14:textFill>
            <w14:solidFill>
              <w14:schemeClr w14:val="tx1"/>
            </w14:solidFill>
          </w14:textFill>
        </w:rPr>
        <mc:AlternateContent>
          <mc:Choice Requires="wps">
            <w:drawing>
              <wp:anchor distT="0" distB="0" distL="114300" distR="114300" simplePos="0" relativeHeight="251672576" behindDoc="1" locked="0" layoutInCell="1" allowOverlap="1">
                <wp:simplePos x="0" y="0"/>
                <wp:positionH relativeFrom="page">
                  <wp:posOffset>2296795</wp:posOffset>
                </wp:positionH>
                <wp:positionV relativeFrom="paragraph">
                  <wp:posOffset>255905</wp:posOffset>
                </wp:positionV>
                <wp:extent cx="2095500" cy="635"/>
                <wp:effectExtent l="0" t="0" r="0" b="0"/>
                <wp:wrapTopAndBottom/>
                <wp:docPr id="99" name="直接连接符 99"/>
                <wp:cNvGraphicFramePr/>
                <a:graphic xmlns:a="http://schemas.openxmlformats.org/drawingml/2006/main">
                  <a:graphicData uri="http://schemas.microsoft.com/office/word/2010/wordprocessingShape">
                    <wps:wsp>
                      <wps:cNvCnPr/>
                      <wps:spPr>
                        <a:xfrm>
                          <a:off x="0" y="0"/>
                          <a:ext cx="2095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0.85pt;margin-top:20.15pt;height:0.05pt;width:165pt;mso-position-horizontal-relative:page;mso-wrap-distance-bottom:0pt;mso-wrap-distance-top:0pt;z-index:-251643904;mso-width-relative:page;mso-height-relative:page;" filled="f" stroked="t" coordsize="21600,21600" o:gfxdata="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NxYM1gAAAAkBAAAPAAAAAAAAAAEAIAAAACIAAABkcnMvZG93bnJldi54bWxQSwEC&#10;FAAUAAAACACHTuJAIP0lifYBAADoAwAADgAAAAAAAAABACAAAAAlAQAAZHJzL2Uyb0RvYy54bWxQ&#10;SwUGAAAAAAYABgBZAQAAjQUAAAAA&#10;">
                <v:fill on="f" focussize="0,0"/>
                <v:stroke color="#000000" joinstyle="round"/>
                <v:imagedata o:title=""/>
                <o:lock v:ext="edit" aspectratio="f"/>
                <w10:wrap type="topAndBottom"/>
              </v:line>
            </w:pict>
          </mc:Fallback>
        </mc:AlternateContent>
      </w:r>
    </w:p>
    <w:p>
      <w:pPr>
        <w:rPr>
          <w:color w:val="000000" w:themeColor="text1"/>
          <w:highlight w:val="none"/>
          <w14:textFill>
            <w14:solidFill>
              <w14:schemeClr w14:val="tx1"/>
            </w14:solidFill>
          </w14:textFill>
        </w:rPr>
      </w:pPr>
    </w:p>
    <w:p>
      <w:pPr>
        <w:tabs>
          <w:tab w:val="left" w:pos="1033"/>
        </w:tabs>
        <w:spacing w:beforeLines="0" w:afterLines="0" w:line="276" w:lineRule="auto"/>
        <w:rPr>
          <w:rFonts w:hint="eastAsia" w:ascii="宋体" w:hAnsi="宋体" w:cs="宋体"/>
          <w:color w:val="000000" w:themeColor="text1"/>
          <w:highlight w:val="none"/>
          <w14:textFill>
            <w14:solidFill>
              <w14:schemeClr w14:val="tx1"/>
            </w14:solidFill>
          </w14:textFill>
        </w:rPr>
      </w:pPr>
    </w:p>
    <w:sectPr>
      <w:headerReference r:id="rId20" w:type="default"/>
      <w:footerReference r:id="rId21" w:type="default"/>
      <w:pgSz w:w="11911" w:h="16838"/>
      <w:pgMar w:top="1440" w:right="1803" w:bottom="1440" w:left="1803" w:header="850"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6630670</wp:posOffset>
              </wp:positionH>
              <wp:positionV relativeFrom="page">
                <wp:posOffset>9828530</wp:posOffset>
              </wp:positionV>
              <wp:extent cx="107950" cy="139700"/>
              <wp:effectExtent l="0" t="0" r="0" b="0"/>
              <wp:wrapNone/>
              <wp:docPr id="100" name="矩形 100"/>
              <wp:cNvGraphicFramePr/>
              <a:graphic xmlns:a="http://schemas.openxmlformats.org/drawingml/2006/main">
                <a:graphicData uri="http://schemas.microsoft.com/office/word/2010/wordprocessingShape">
                  <wps:wsp>
                    <wps:cNvSpPr/>
                    <wps:spPr>
                      <a:xfrm>
                        <a:off x="0" y="0"/>
                        <a:ext cx="107950" cy="139700"/>
                      </a:xfrm>
                      <a:prstGeom prst="rect">
                        <a:avLst/>
                      </a:prstGeom>
                      <a:noFill/>
                      <a:ln w="9525">
                        <a:noFill/>
                      </a:ln>
                    </wps:spPr>
                    <wps:txbx>
                      <w:txbxContent>
                        <w:p>
                          <w:pPr>
                            <w:spacing w:line="220" w:lineRule="exact"/>
                            <w:ind w:left="40"/>
                            <w:rPr>
                              <w:sz w:val="18"/>
                            </w:rPr>
                          </w:pPr>
                          <w:r>
                            <w:fldChar w:fldCharType="begin"/>
                          </w:r>
                          <w:r>
                            <w:rPr>
                              <w:sz w:val="18"/>
                            </w:rPr>
                            <w:instrText xml:space="preserve"> PAGE  \* ROMAN </w:instrText>
                          </w:r>
                          <w:r>
                            <w:fldChar w:fldCharType="separate"/>
                          </w:r>
                          <w:r>
                            <w:rPr>
                              <w:sz w:val="18"/>
                            </w:rPr>
                            <w:t>II</w:t>
                          </w:r>
                          <w:r>
                            <w:fldChar w:fldCharType="end"/>
                          </w:r>
                        </w:p>
                      </w:txbxContent>
                    </wps:txbx>
                    <wps:bodyPr lIns="0" tIns="0" rIns="0" bIns="0" upright="1"/>
                  </wps:wsp>
                </a:graphicData>
              </a:graphic>
            </wp:anchor>
          </w:drawing>
        </mc:Choice>
        <mc:Fallback>
          <w:pict>
            <v:rect id="_x0000_s1026" o:spid="_x0000_s1026" o:spt="1" style="position:absolute;left:0pt;margin-left:522.1pt;margin-top:773.9pt;height:11pt;width:8.5pt;mso-position-horizontal-relative:page;mso-position-vertical-relative:page;z-index:-251651072;mso-width-relative:page;mso-height-relative:page;" filled="f" stroked="f" coordsize="21600,21600" o:gfxdata="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MrmJ2gAAAA8BAAAPAAAAAAAAAAEAIAAAACIAAABkcnMvZG93bnJldi54bWxQSwEC&#10;FAAUAAAACACHTuJAPmNa77kBAABxAwAADgAAAAAAAAABACAAAAApAQAAZHJzL2Uyb0RvYy54bWxQ&#10;SwUGAAAAAAYABgBZAQAAVAU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 ROMAN </w:instrText>
                    </w:r>
                    <w:r>
                      <w:fldChar w:fldCharType="separate"/>
                    </w:r>
                    <w:r>
                      <w:rPr>
                        <w:sz w:val="18"/>
                      </w:rPr>
                      <w:t>II</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847090</wp:posOffset>
              </wp:positionH>
              <wp:positionV relativeFrom="page">
                <wp:posOffset>9828530</wp:posOffset>
              </wp:positionV>
              <wp:extent cx="141605" cy="139700"/>
              <wp:effectExtent l="0" t="0" r="0" b="0"/>
              <wp:wrapNone/>
              <wp:docPr id="102" name="矩形 102"/>
              <wp:cNvGraphicFramePr/>
              <a:graphic xmlns:a="http://schemas.openxmlformats.org/drawingml/2006/main">
                <a:graphicData uri="http://schemas.microsoft.com/office/word/2010/wordprocessingShape">
                  <wps:wsp>
                    <wps:cNvSpPr/>
                    <wps:spPr>
                      <a:xfrm>
                        <a:off x="0" y="0"/>
                        <a:ext cx="141605" cy="139700"/>
                      </a:xfrm>
                      <a:prstGeom prst="rect">
                        <a:avLst/>
                      </a:prstGeom>
                      <a:noFill/>
                      <a:ln w="9525">
                        <a:noFill/>
                      </a:ln>
                    </wps:spPr>
                    <wps:txbx>
                      <w:txbxContent>
                        <w:p>
                          <w:pPr>
                            <w:spacing w:line="220" w:lineRule="exact"/>
                            <w:ind w:left="20"/>
                            <w:rPr>
                              <w:sz w:val="18"/>
                            </w:rPr>
                          </w:pPr>
                          <w:r>
                            <w:rPr>
                              <w:sz w:val="18"/>
                            </w:rPr>
                            <w:t>II</w:t>
                          </w:r>
                        </w:p>
                      </w:txbxContent>
                    </wps:txbx>
                    <wps:bodyPr lIns="0" tIns="0" rIns="0" bIns="0" upright="1"/>
                  </wps:wsp>
                </a:graphicData>
              </a:graphic>
            </wp:anchor>
          </w:drawing>
        </mc:Choice>
        <mc:Fallback>
          <w:pict>
            <v:rect id="_x0000_s1026" o:spid="_x0000_s1026" o:spt="1" style="position:absolute;left:0pt;margin-left:66.7pt;margin-top:773.9pt;height:11pt;width:11.15pt;mso-position-horizontal-relative:page;mso-position-vertical-relative:page;z-index:-251652096;mso-width-relative:page;mso-height-relative:page;" filled="f" stroked="f" coordsize="21600,21600" o:gfxdata="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O/d79wAAAANAQAADwAAAAAAAAABACAAAAAiAAAAZHJzL2Rvd25yZXYueG1s&#10;UEsBAhQAFAAAAAgAh07iQHUqO7G7AQAAcQMAAA4AAAAAAAAAAQAgAAAAKwEAAGRycy9lMm9Eb2Mu&#10;eG1sUEsFBgAAAAAGAAYAWQEAAFgFAAAAAA==&#10;">
              <v:fill on="f" focussize="0,0"/>
              <v:stroke on="f"/>
              <v:imagedata o:title=""/>
              <o:lock v:ext="edit" aspectratio="f"/>
              <v:textbox inset="0mm,0mm,0mm,0mm">
                <w:txbxContent>
                  <w:p>
                    <w:pPr>
                      <w:spacing w:line="220" w:lineRule="exact"/>
                      <w:ind w:left="20"/>
                      <w:rPr>
                        <w:sz w:val="18"/>
                      </w:rPr>
                    </w:pPr>
                    <w:r>
                      <w:rPr>
                        <w:sz w:val="18"/>
                      </w:rPr>
                      <w:t>II</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6516370</wp:posOffset>
              </wp:positionH>
              <wp:positionV relativeFrom="page">
                <wp:posOffset>9828530</wp:posOffset>
              </wp:positionV>
              <wp:extent cx="224790" cy="139700"/>
              <wp:effectExtent l="0" t="0" r="0" b="0"/>
              <wp:wrapNone/>
              <wp:docPr id="103" name="矩形 103"/>
              <wp:cNvGraphicFramePr/>
              <a:graphic xmlns:a="http://schemas.openxmlformats.org/drawingml/2006/main">
                <a:graphicData uri="http://schemas.microsoft.com/office/word/2010/wordprocessingShape">
                  <wps:wsp>
                    <wps:cNvSpPr/>
                    <wps:spPr>
                      <a:xfrm>
                        <a:off x="0" y="0"/>
                        <a:ext cx="224790" cy="139700"/>
                      </a:xfrm>
                      <a:prstGeom prst="rect">
                        <a:avLst/>
                      </a:prstGeom>
                      <a:noFill/>
                      <a:ln w="9525">
                        <a:noFill/>
                      </a:ln>
                    </wps:spPr>
                    <wps:txbx>
                      <w:txbxContent>
                        <w:p>
                          <w:pPr>
                            <w:spacing w:line="220" w:lineRule="exact"/>
                            <w:ind w:left="40"/>
                            <w:rPr>
                              <w:sz w:val="18"/>
                            </w:rPr>
                          </w:pPr>
                          <w:r>
                            <w:fldChar w:fldCharType="begin"/>
                          </w:r>
                          <w:r>
                            <w:rPr>
                              <w:sz w:val="18"/>
                            </w:rPr>
                            <w:instrText xml:space="preserve"> PAGE  \* ROMAN </w:instrText>
                          </w:r>
                          <w:r>
                            <w:fldChar w:fldCharType="separate"/>
                          </w:r>
                          <w:r>
                            <w:rPr>
                              <w:sz w:val="18"/>
                            </w:rPr>
                            <w:t>III</w:t>
                          </w:r>
                          <w:r>
                            <w:fldChar w:fldCharType="end"/>
                          </w:r>
                        </w:p>
                      </w:txbxContent>
                    </wps:txbx>
                    <wps:bodyPr lIns="0" tIns="0" rIns="0" bIns="0" upright="1"/>
                  </wps:wsp>
                </a:graphicData>
              </a:graphic>
            </wp:anchor>
          </w:drawing>
        </mc:Choice>
        <mc:Fallback>
          <w:pict>
            <v:rect id="_x0000_s1026" o:spid="_x0000_s1026" o:spt="1" style="position:absolute;left:0pt;margin-left:513.1pt;margin-top:773.9pt;height:11pt;width:17.7pt;mso-position-horizontal-relative:page;mso-position-vertical-relative:page;z-index:-251650048;mso-width-relative:page;mso-height-relative:page;" filled="f" stroked="f" coordsize="21600,21600" o:gfxdata="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kbR3NwAAAAPAQAADwAAAAAAAAABACAAAAAiAAAAZHJzL2Rvd25yZXYueG1s&#10;UEsBAhQAFAAAAAgAh07iQCmVYRa7AQAAcQMAAA4AAAAAAAAAAQAgAAAAKwEAAGRycy9lMm9Eb2Mu&#10;eG1sUEsFBgAAAAAGAAYAWQEAAFgFA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 ROMAN </w:instrText>
                    </w:r>
                    <w:r>
                      <w:fldChar w:fldCharType="separate"/>
                    </w:r>
                    <w:r>
                      <w:rPr>
                        <w:sz w:val="18"/>
                      </w:rPr>
                      <w:t>III</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70528" behindDoc="1" locked="0" layoutInCell="1" allowOverlap="1">
              <wp:simplePos x="0" y="0"/>
              <wp:positionH relativeFrom="page">
                <wp:posOffset>6574790</wp:posOffset>
              </wp:positionH>
              <wp:positionV relativeFrom="page">
                <wp:posOffset>9828530</wp:posOffset>
              </wp:positionV>
              <wp:extent cx="167005" cy="139700"/>
              <wp:effectExtent l="0" t="0" r="0" b="0"/>
              <wp:wrapNone/>
              <wp:docPr id="105" name="矩形 105"/>
              <wp:cNvGraphicFramePr/>
              <a:graphic xmlns:a="http://schemas.openxmlformats.org/drawingml/2006/main">
                <a:graphicData uri="http://schemas.microsoft.com/office/word/2010/wordprocessingShape">
                  <wps:wsp>
                    <wps:cNvSpPr/>
                    <wps:spPr>
                      <a:xfrm>
                        <a:off x="0" y="0"/>
                        <a:ext cx="167005" cy="139700"/>
                      </a:xfrm>
                      <a:prstGeom prst="rect">
                        <a:avLst/>
                      </a:prstGeom>
                      <a:noFill/>
                      <a:ln w="9525">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wps:txbx>
                    <wps:bodyPr lIns="0" tIns="0" rIns="0" bIns="0" upright="1"/>
                  </wps:wsp>
                </a:graphicData>
              </a:graphic>
            </wp:anchor>
          </w:drawing>
        </mc:Choice>
        <mc:Fallback>
          <w:pict>
            <v:rect id="_x0000_s1026" o:spid="_x0000_s1026" o:spt="1" style="position:absolute;left:0pt;margin-left:517.7pt;margin-top:773.9pt;height:11pt;width:13.15pt;mso-position-horizontal-relative:page;mso-position-vertical-relative:page;z-index:-251645952;mso-width-relative:page;mso-height-relative:page;" filled="f" stroked="f" coordsize="21600,21600" o:gfxdata="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u+LfdAAAADwEAAA8AAAAAAAAAAQAgAAAAIgAAAGRycy9kb3ducmV2LnhtbFBL&#10;AQIUABQAAAAIAIdO4kBvdU65uAEAAHEDAAAOAAAAAAAAAAEAIAAAACwBAABkcnMvZTJvRG9jLnht&#10;bFBLBQYAAAAABgAGAFkBAABWBQ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9504" behindDoc="1" locked="0" layoutInCell="1" allowOverlap="1">
              <wp:simplePos x="0" y="0"/>
              <wp:positionH relativeFrom="page">
                <wp:posOffset>834390</wp:posOffset>
              </wp:positionH>
              <wp:positionV relativeFrom="page">
                <wp:posOffset>9828530</wp:posOffset>
              </wp:positionV>
              <wp:extent cx="167005" cy="139700"/>
              <wp:effectExtent l="0" t="0" r="0" b="0"/>
              <wp:wrapNone/>
              <wp:docPr id="107" name="矩形 107"/>
              <wp:cNvGraphicFramePr/>
              <a:graphic xmlns:a="http://schemas.openxmlformats.org/drawingml/2006/main">
                <a:graphicData uri="http://schemas.microsoft.com/office/word/2010/wordprocessingShape">
                  <wps:wsp>
                    <wps:cNvSpPr/>
                    <wps:spPr>
                      <a:xfrm>
                        <a:off x="0" y="0"/>
                        <a:ext cx="167005" cy="139700"/>
                      </a:xfrm>
                      <a:prstGeom prst="rect">
                        <a:avLst/>
                      </a:prstGeom>
                      <a:noFill/>
                      <a:ln w="9525">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wps:txbx>
                    <wps:bodyPr lIns="0" tIns="0" rIns="0" bIns="0" upright="1"/>
                  </wps:wsp>
                </a:graphicData>
              </a:graphic>
            </wp:anchor>
          </w:drawing>
        </mc:Choice>
        <mc:Fallback>
          <w:pict>
            <v:rect id="_x0000_s1026" o:spid="_x0000_s1026" o:spt="1" style="position:absolute;left:0pt;margin-left:65.7pt;margin-top:773.9pt;height:11pt;width:13.15pt;mso-position-horizontal-relative:page;mso-position-vertical-relative:page;z-index:-251646976;mso-width-relative:page;mso-height-relative:page;" filled="f" stroked="f" coordsize="21600,21600" o:gfxdata="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3HdUtsAAAANAQAADwAAAAAAAAABACAAAAAiAAAAZHJzL2Rvd25yZXYueG1sUEsB&#10;AhQAFAAAAAgAh07iQKAqT3y5AQAAcQMAAA4AAAAAAAAAAQAgAAAAKgEAAGRycy9lMm9Eb2MueG1s&#10;UEsFBgAAAAAGAAYAWQEAAFUFA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6574790</wp:posOffset>
              </wp:positionH>
              <wp:positionV relativeFrom="page">
                <wp:posOffset>9828530</wp:posOffset>
              </wp:positionV>
              <wp:extent cx="167005" cy="139700"/>
              <wp:effectExtent l="0" t="0" r="0" b="0"/>
              <wp:wrapNone/>
              <wp:docPr id="49" name="矩形 53"/>
              <wp:cNvGraphicFramePr/>
              <a:graphic xmlns:a="http://schemas.openxmlformats.org/drawingml/2006/main">
                <a:graphicData uri="http://schemas.microsoft.com/office/word/2010/wordprocessingShape">
                  <wps:wsp>
                    <wps:cNvSpPr/>
                    <wps:spPr>
                      <a:xfrm>
                        <a:off x="0" y="0"/>
                        <a:ext cx="167005" cy="139700"/>
                      </a:xfrm>
                      <a:prstGeom prst="rect">
                        <a:avLst/>
                      </a:prstGeom>
                      <a:noFill/>
                      <a:ln w="9525">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7</w:t>
                          </w:r>
                          <w:r>
                            <w:fldChar w:fldCharType="end"/>
                          </w:r>
                        </w:p>
                      </w:txbxContent>
                    </wps:txbx>
                    <wps:bodyPr wrap="square" lIns="0" tIns="0" rIns="0" bIns="0" upright="1"/>
                  </wps:wsp>
                </a:graphicData>
              </a:graphic>
            </wp:anchor>
          </w:drawing>
        </mc:Choice>
        <mc:Fallback>
          <w:pict>
            <v:rect id="矩形 53" o:spid="_x0000_s1026" o:spt="1" style="position:absolute;left:0pt;margin-left:517.7pt;margin-top:773.9pt;height:11pt;width:13.15pt;mso-position-horizontal-relative:page;mso-position-vertical-relative:page;z-index:-251656192;mso-width-relative:page;mso-height-relative:page;" filled="f" stroked="f" coordsize="21600,21600" o:gfxdata="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674t90AAAAPAQAADwAAAAAAAAABACAAAAAiAAAAZHJzL2Rv&#10;d25yZXYueG1sUEsBAhQAFAAAAAgAh07iQBQbgTLDAQAAfQMAAA4AAAAAAAAAAQAgAAAALAEAAGRy&#10;cy9lMm9Eb2MueG1sUEsFBgAAAAAGAAYAWQEAAGEFA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6059805</wp:posOffset>
              </wp:positionH>
              <wp:positionV relativeFrom="page">
                <wp:posOffset>858520</wp:posOffset>
              </wp:positionV>
              <wp:extent cx="1026795" cy="198755"/>
              <wp:effectExtent l="0" t="0" r="0" b="0"/>
              <wp:wrapNone/>
              <wp:docPr id="70" name="矩形 70"/>
              <wp:cNvGraphicFramePr/>
              <a:graphic xmlns:a="http://schemas.openxmlformats.org/drawingml/2006/main">
                <a:graphicData uri="http://schemas.microsoft.com/office/word/2010/wordprocessingShape">
                  <wps:wsp>
                    <wps:cNvSpPr/>
                    <wps:spPr>
                      <a:xfrm>
                        <a:off x="0" y="0"/>
                        <a:ext cx="1026795" cy="198755"/>
                      </a:xfrm>
                      <a:prstGeom prst="rect">
                        <a:avLst/>
                      </a:prstGeom>
                      <a:noFill/>
                      <a:ln w="9525">
                        <a:noFill/>
                      </a:ln>
                    </wps:spPr>
                    <wps:txbx>
                      <w:txbxContent>
                        <w:p>
                          <w:pPr>
                            <w:pStyle w:val="8"/>
                            <w:spacing w:line="267" w:lineRule="exact"/>
                            <w:ind w:left="20"/>
                            <w:jc w:val="both"/>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477.15pt;margin-top:67.6pt;height:15.65pt;width:80.85pt;mso-position-horizontal-relative:page;mso-position-vertical-relative:page;z-index:-251653120;mso-width-relative:page;mso-height-relative:page;" filled="f" stroked="f" coordsize="21600,21600" o:gfxdata="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ZSTm3AAAAAwBAAAPAAAAAAAAAAEAIAAAACIAAABkcnMvZG93bnJldi54bWxQ&#10;SwECFAAUAAAACACHTuJA8sR+HLoBAABwAwAADgAAAAAAAAABACAAAAArAQAAZHJzL2Uyb0RvYy54&#10;bWxQSwUGAAAAAAYABgBZAQAAVwUAAAAA&#10;">
              <v:fill on="f" focussize="0,0"/>
              <v:stroke on="f"/>
              <v:imagedata o:title=""/>
              <o:lock v:ext="edit" aspectratio="f"/>
              <v:textbox inset="0mm,0mm,0mm,0mm">
                <w:txbxContent>
                  <w:p>
                    <w:pPr>
                      <w:pStyle w:val="8"/>
                      <w:spacing w:line="267" w:lineRule="exact"/>
                      <w:ind w:left="20"/>
                      <w:jc w:val="both"/>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78720" behindDoc="1" locked="0" layoutInCell="1" allowOverlap="1">
              <wp:simplePos x="0" y="0"/>
              <wp:positionH relativeFrom="page">
                <wp:posOffset>706120</wp:posOffset>
              </wp:positionH>
              <wp:positionV relativeFrom="page">
                <wp:posOffset>902335</wp:posOffset>
              </wp:positionV>
              <wp:extent cx="1027430" cy="173990"/>
              <wp:effectExtent l="0" t="0" r="0" b="0"/>
              <wp:wrapNone/>
              <wp:docPr id="119" name="矩形 119"/>
              <wp:cNvGraphicFramePr/>
              <a:graphic xmlns:a="http://schemas.openxmlformats.org/drawingml/2006/main">
                <a:graphicData uri="http://schemas.microsoft.com/office/word/2010/wordprocessingShape">
                  <wps:wsp>
                    <wps:cNvSpPr/>
                    <wps:spPr>
                      <a:xfrm>
                        <a:off x="0" y="0"/>
                        <a:ext cx="1027430"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55.6pt;margin-top:71.05pt;height:13.7pt;width:80.9pt;mso-position-horizontal-relative:page;mso-position-vertical-relative:page;z-index:-251637760;mso-width-relative:page;mso-height-relative:page;" filled="f" stroked="f" coordsize="21600,21600" o:gfxdata="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UZBBdsAAAALAQAADwAAAAAAAAABACAAAAAiAAAAZHJzL2Rvd25yZXYueG1s&#10;UEsBAhQAFAAAAAgAh07iQDU55Qy8AQAAcgMAAA4AAAAAAAAAAQAgAAAAKgEAAGRycy9lMm9Eb2Mu&#10;eG1sUEsFBgAAAAAGAAYAWQEAAFgFA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r>
      <w:rPr>
        <w:lang w:val="en-US" w:bidi="ar-SA"/>
      </w:rPr>
      <mc:AlternateContent>
        <mc:Choice Requires="wps">
          <w:drawing>
            <wp:anchor distT="0" distB="0" distL="114300" distR="114300" simplePos="0" relativeHeight="251679744" behindDoc="1" locked="0" layoutInCell="1" allowOverlap="1">
              <wp:simplePos x="0" y="0"/>
              <wp:positionH relativeFrom="page">
                <wp:posOffset>3358515</wp:posOffset>
              </wp:positionH>
              <wp:positionV relativeFrom="page">
                <wp:posOffset>1238885</wp:posOffset>
              </wp:positionV>
              <wp:extent cx="458470" cy="160020"/>
              <wp:effectExtent l="0" t="0" r="0" b="0"/>
              <wp:wrapNone/>
              <wp:docPr id="120" name="矩形 120"/>
              <wp:cNvGraphicFramePr/>
              <a:graphic xmlns:a="http://schemas.openxmlformats.org/drawingml/2006/main">
                <a:graphicData uri="http://schemas.microsoft.com/office/word/2010/wordprocessingShape">
                  <wps:wsp>
                    <wps:cNvSpPr/>
                    <wps:spPr>
                      <a:xfrm>
                        <a:off x="0" y="0"/>
                        <a:ext cx="458470" cy="160020"/>
                      </a:xfrm>
                      <a:prstGeom prst="rect">
                        <a:avLst/>
                      </a:prstGeom>
                      <a:noFill/>
                      <a:ln w="9525">
                        <a:noFill/>
                      </a:ln>
                    </wps:spPr>
                    <wps:txbx>
                      <w:txbxContent>
                        <w:p>
                          <w:pPr>
                            <w:pStyle w:val="8"/>
                            <w:spacing w:line="251" w:lineRule="exact"/>
                            <w:ind w:left="20"/>
                            <w:rPr>
                              <w:rFonts w:ascii="黑体" w:eastAsia="黑体"/>
                            </w:rPr>
                          </w:pPr>
                          <w:r>
                            <w:rPr>
                              <w:rFonts w:hint="eastAsia" w:ascii="黑体" w:eastAsia="黑体"/>
                              <w:spacing w:val="-17"/>
                            </w:rPr>
                            <w:t xml:space="preserve">续表 </w:t>
                          </w:r>
                          <w:r>
                            <w:rPr>
                              <w:rFonts w:hint="eastAsia" w:ascii="黑体" w:eastAsia="黑体"/>
                              <w:spacing w:val="-3"/>
                            </w:rPr>
                            <w:t>31</w:t>
                          </w:r>
                        </w:p>
                      </w:txbxContent>
                    </wps:txbx>
                    <wps:bodyPr lIns="0" tIns="0" rIns="0" bIns="0" upright="1"/>
                  </wps:wsp>
                </a:graphicData>
              </a:graphic>
            </wp:anchor>
          </w:drawing>
        </mc:Choice>
        <mc:Fallback>
          <w:pict>
            <v:rect id="_x0000_s1026" o:spid="_x0000_s1026" o:spt="1" style="position:absolute;left:0pt;margin-left:264.45pt;margin-top:97.55pt;height:12.6pt;width:36.1pt;mso-position-horizontal-relative:page;mso-position-vertical-relative:page;z-index:-251636736;mso-width-relative:page;mso-height-relative:page;" filled="f" stroked="f" coordsize="21600,21600" o:gfxdata="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GZ+6NsAAAALAQAADwAAAAAAAAABACAAAAAiAAAAZHJzL2Rvd25yZXYueG1sUEsB&#10;AhQAFAAAAAgAh07iQDubjMC5AQAAcQMAAA4AAAAAAAAAAQAgAAAAKgEAAGRycy9lMm9Eb2MueG1s&#10;UEsFBgAAAAAGAAYAWQEAAFUFAAAAAA==&#10;">
              <v:fill on="f" focussize="0,0"/>
              <v:stroke on="f"/>
              <v:imagedata o:title=""/>
              <o:lock v:ext="edit" aspectratio="f"/>
              <v:textbox inset="0mm,0mm,0mm,0mm">
                <w:txbxContent>
                  <w:p>
                    <w:pPr>
                      <w:pStyle w:val="8"/>
                      <w:spacing w:line="251" w:lineRule="exact"/>
                      <w:ind w:left="20"/>
                      <w:rPr>
                        <w:rFonts w:ascii="黑体" w:eastAsia="黑体"/>
                      </w:rPr>
                    </w:pPr>
                    <w:r>
                      <w:rPr>
                        <w:rFonts w:hint="eastAsia" w:ascii="黑体" w:eastAsia="黑体"/>
                        <w:spacing w:val="-17"/>
                      </w:rPr>
                      <w:t xml:space="preserve">续表 </w:t>
                    </w:r>
                    <w:r>
                      <w:rPr>
                        <w:rFonts w:hint="eastAsia" w:ascii="黑体" w:eastAsia="黑体"/>
                        <w:spacing w:val="-3"/>
                      </w:rPr>
                      <w:t>31</w:t>
                    </w:r>
                  </w:p>
                </w:txbxContent>
              </v:textbox>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82816" behindDoc="1" locked="0" layoutInCell="1" allowOverlap="1">
              <wp:simplePos x="0" y="0"/>
              <wp:positionH relativeFrom="page">
                <wp:posOffset>5828030</wp:posOffset>
              </wp:positionH>
              <wp:positionV relativeFrom="page">
                <wp:posOffset>902335</wp:posOffset>
              </wp:positionV>
              <wp:extent cx="1026795" cy="173990"/>
              <wp:effectExtent l="0" t="0" r="0" b="0"/>
              <wp:wrapNone/>
              <wp:docPr id="121" name="矩形 121"/>
              <wp:cNvGraphicFramePr/>
              <a:graphic xmlns:a="http://schemas.openxmlformats.org/drawingml/2006/main">
                <a:graphicData uri="http://schemas.microsoft.com/office/word/2010/wordprocessingShape">
                  <wps:wsp>
                    <wps:cNvSpPr/>
                    <wps:spPr>
                      <a:xfrm>
                        <a:off x="0" y="0"/>
                        <a:ext cx="1026795"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458.9pt;margin-top:71.05pt;height:13.7pt;width:80.85pt;mso-position-horizontal-relative:page;mso-position-vertical-relative:page;z-index:-251633664;mso-width-relative:page;mso-height-relative:page;" filled="f" stroked="f" coordsize="21600,21600" o:gfxdata="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Z8XZPaAAAADAEAAA8AAAAAAAAAAQAgAAAAIgAAAGRycy9kb3ducmV2LnhtbFBL&#10;AQIUABQAAAAIAIdO4kCW6hjDuwEAAHIDAAAOAAAAAAAAAAEAIAAAACkBAABkcnMvZTJvRG9jLnht&#10;bFBLBQYAAAAABgAGAFkBAABWBQ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81792" behindDoc="1" locked="0" layoutInCell="1" allowOverlap="1">
              <wp:simplePos x="0" y="0"/>
              <wp:positionH relativeFrom="page">
                <wp:posOffset>706120</wp:posOffset>
              </wp:positionH>
              <wp:positionV relativeFrom="page">
                <wp:posOffset>902335</wp:posOffset>
              </wp:positionV>
              <wp:extent cx="1027430" cy="173990"/>
              <wp:effectExtent l="0" t="0" r="0" b="0"/>
              <wp:wrapNone/>
              <wp:docPr id="122" name="矩形 122"/>
              <wp:cNvGraphicFramePr/>
              <a:graphic xmlns:a="http://schemas.openxmlformats.org/drawingml/2006/main">
                <a:graphicData uri="http://schemas.microsoft.com/office/word/2010/wordprocessingShape">
                  <wps:wsp>
                    <wps:cNvSpPr/>
                    <wps:spPr>
                      <a:xfrm>
                        <a:off x="0" y="0"/>
                        <a:ext cx="1027430"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55.6pt;margin-top:71.05pt;height:13.7pt;width:80.9pt;mso-position-horizontal-relative:page;mso-position-vertical-relative:page;z-index:-251634688;mso-width-relative:page;mso-height-relative:page;" filled="f" stroked="f" coordsize="21600,21600" o:gfxdata="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UZBBdsAAAALAQAADwAAAAAAAAABACAAAAAiAAAAZHJzL2Rvd25yZXYueG1s&#10;UEsBAhQAFAAAAAgAh07iQDsR2i+8AQAAcgMAAA4AAAAAAAAAAQAgAAAAKgEAAGRycy9lMm9Eb2Mu&#10;eG1sUEsFBgAAAAAGAAYAWQEAAFgFA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5828030</wp:posOffset>
              </wp:positionH>
              <wp:positionV relativeFrom="page">
                <wp:posOffset>902335</wp:posOffset>
              </wp:positionV>
              <wp:extent cx="1026795" cy="173990"/>
              <wp:effectExtent l="0" t="0" r="0" b="0"/>
              <wp:wrapNone/>
              <wp:docPr id="61" name="矩形 41"/>
              <wp:cNvGraphicFramePr/>
              <a:graphic xmlns:a="http://schemas.openxmlformats.org/drawingml/2006/main">
                <a:graphicData uri="http://schemas.microsoft.com/office/word/2010/wordprocessingShape">
                  <wps:wsp>
                    <wps:cNvSpPr/>
                    <wps:spPr>
                      <a:xfrm>
                        <a:off x="0" y="0"/>
                        <a:ext cx="1026795"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wrap="square" lIns="0" tIns="0" rIns="0" bIns="0" upright="1"/>
                  </wps:wsp>
                </a:graphicData>
              </a:graphic>
            </wp:anchor>
          </w:drawing>
        </mc:Choice>
        <mc:Fallback>
          <w:pict>
            <v:rect id="矩形 41" o:spid="_x0000_s1026" o:spt="1" style="position:absolute;left:0pt;margin-left:458.9pt;margin-top:71.05pt;height:13.7pt;width:80.85pt;mso-position-horizontal-relative:page;mso-position-vertical-relative:page;z-index:-251655168;mso-width-relative:page;mso-height-relative:page;" filled="f" stroked="f" coordsize="21600,21600" o:gfxdata="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Z8XZPaAAAADAEAAA8AAAAAAAAAAQAgAAAAIgAAAGRycy9kb3du&#10;cmV2LnhtbFBLAQIUABQAAAAIAIdO4kCcZ90XxAEAAH4DAAAOAAAAAAAAAAEAIAAAACkBAABkcnMv&#10;ZTJvRG9jLnhtbFBLBQYAAAAABgAGAFkBAABfBQ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706120</wp:posOffset>
              </wp:positionH>
              <wp:positionV relativeFrom="page">
                <wp:posOffset>902335</wp:posOffset>
              </wp:positionV>
              <wp:extent cx="1027430" cy="173990"/>
              <wp:effectExtent l="0" t="0" r="0" b="0"/>
              <wp:wrapNone/>
              <wp:docPr id="101" name="矩形 101"/>
              <wp:cNvGraphicFramePr/>
              <a:graphic xmlns:a="http://schemas.openxmlformats.org/drawingml/2006/main">
                <a:graphicData uri="http://schemas.microsoft.com/office/word/2010/wordprocessingShape">
                  <wps:wsp>
                    <wps:cNvSpPr/>
                    <wps:spPr>
                      <a:xfrm>
                        <a:off x="0" y="0"/>
                        <a:ext cx="1027430"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55.6pt;margin-top:71.05pt;height:13.7pt;width:80.9pt;mso-position-horizontal-relative:page;mso-position-vertical-relative:page;z-index:-251654144;mso-width-relative:page;mso-height-relative:page;" filled="f" stroked="f" coordsize="21600,21600" o:gfxdata="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kEF2wAAAAsBAAAPAAAAAAAAAAEAIAAAACIAAABkcnMvZG93bnJldi54bWxQ&#10;SwECFAAUAAAACACHTuJAn+L9lrsBAAByAwAADgAAAAAAAAABACAAAAAqAQAAZHJzL2Uyb0RvYy54&#10;bWxQSwUGAAAAAAYABgBZAQAAVwU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5828030</wp:posOffset>
              </wp:positionH>
              <wp:positionV relativeFrom="page">
                <wp:posOffset>902335</wp:posOffset>
              </wp:positionV>
              <wp:extent cx="1026795" cy="173990"/>
              <wp:effectExtent l="0" t="0" r="0" b="0"/>
              <wp:wrapNone/>
              <wp:docPr id="104" name="矩形 104"/>
              <wp:cNvGraphicFramePr/>
              <a:graphic xmlns:a="http://schemas.openxmlformats.org/drawingml/2006/main">
                <a:graphicData uri="http://schemas.microsoft.com/office/word/2010/wordprocessingShape">
                  <wps:wsp>
                    <wps:cNvSpPr/>
                    <wps:spPr>
                      <a:xfrm>
                        <a:off x="0" y="0"/>
                        <a:ext cx="1026795"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458.9pt;margin-top:71.05pt;height:13.7pt;width:80.85pt;mso-position-horizontal-relative:page;mso-position-vertical-relative:page;z-index:-251648000;mso-width-relative:page;mso-height-relative:page;" filled="f" stroked="f" coordsize="21600,21600" o:gfxdata="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fF2T2gAAAAwBAAAPAAAAAAAAAAEAIAAAACIAAABkcnMvZG93bnJldi54bWxQ&#10;SwECFAAUAAAACACHTuJAsHscZ7wBAAByAwAADgAAAAAAAAABACAAAAApAQAAZHJzL2Uyb0RvYy54&#10;bWxQSwUGAAAAAAYABgBZAQAAVwU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7456" behindDoc="1" locked="0" layoutInCell="1" allowOverlap="1">
              <wp:simplePos x="0" y="0"/>
              <wp:positionH relativeFrom="page">
                <wp:posOffset>706120</wp:posOffset>
              </wp:positionH>
              <wp:positionV relativeFrom="page">
                <wp:posOffset>902335</wp:posOffset>
              </wp:positionV>
              <wp:extent cx="1027430" cy="173990"/>
              <wp:effectExtent l="0" t="0" r="0" b="0"/>
              <wp:wrapNone/>
              <wp:docPr id="106" name="矩形 106"/>
              <wp:cNvGraphicFramePr/>
              <a:graphic xmlns:a="http://schemas.openxmlformats.org/drawingml/2006/main">
                <a:graphicData uri="http://schemas.microsoft.com/office/word/2010/wordprocessingShape">
                  <wps:wsp>
                    <wps:cNvSpPr/>
                    <wps:spPr>
                      <a:xfrm>
                        <a:off x="0" y="0"/>
                        <a:ext cx="1027430"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55.6pt;margin-top:71.05pt;height:13.7pt;width:80.9pt;mso-position-horizontal-relative:page;mso-position-vertical-relative:page;z-index:-251649024;mso-width-relative:page;mso-height-relative:page;" filled="f" stroked="f" coordsize="21600,21600" o:gfxdata="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UZBBdsAAAALAQAADwAAAAAAAAABACAAAAAiAAAAZHJzL2Rvd25yZXYueG1s&#10;UEsBAhQAFAAAAAgAh07iQCLvUY68AQAAcgMAAA4AAAAAAAAAAQAgAAAAKgEAAGRycy9lMm9Eb2Mu&#10;eG1sUEsFBgAAAAAGAAYAWQEAAFgFA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74624" behindDoc="1" locked="0" layoutInCell="1" allowOverlap="1">
              <wp:simplePos x="0" y="0"/>
              <wp:positionH relativeFrom="page">
                <wp:posOffset>3503295</wp:posOffset>
              </wp:positionH>
              <wp:positionV relativeFrom="page">
                <wp:posOffset>1257935</wp:posOffset>
              </wp:positionV>
              <wp:extent cx="580390" cy="140970"/>
              <wp:effectExtent l="0" t="0" r="0" b="0"/>
              <wp:wrapNone/>
              <wp:docPr id="109" name="矩形 109"/>
              <wp:cNvGraphicFramePr/>
              <a:graphic xmlns:a="http://schemas.openxmlformats.org/drawingml/2006/main">
                <a:graphicData uri="http://schemas.microsoft.com/office/word/2010/wordprocessingShape">
                  <wps:wsp>
                    <wps:cNvSpPr/>
                    <wps:spPr>
                      <a:xfrm>
                        <a:off x="0" y="0"/>
                        <a:ext cx="580390" cy="140970"/>
                      </a:xfrm>
                      <a:prstGeom prst="rect">
                        <a:avLst/>
                      </a:prstGeom>
                      <a:noFill/>
                      <a:ln w="9525">
                        <a:noFill/>
                      </a:ln>
                    </wps:spPr>
                    <wps:txbx>
                      <w:txbxContent>
                        <w:p>
                          <w:pPr>
                            <w:pStyle w:val="8"/>
                            <w:spacing w:line="251" w:lineRule="exact"/>
                            <w:ind w:left="20"/>
                            <w:rPr>
                              <w:rFonts w:hint="default" w:ascii="黑体" w:eastAsia="黑体"/>
                              <w:b/>
                              <w:bCs/>
                              <w:lang w:val="en-US" w:eastAsia="zh-CN"/>
                            </w:rPr>
                          </w:pPr>
                          <w:r>
                            <w:rPr>
                              <w:rFonts w:hint="eastAsia" w:ascii="黑体" w:eastAsia="黑体"/>
                              <w:b/>
                              <w:bCs/>
                            </w:rPr>
                            <w:t>续表</w:t>
                          </w:r>
                          <w:r>
                            <w:rPr>
                              <w:rFonts w:hint="eastAsia" w:ascii="黑体" w:eastAsia="黑体"/>
                              <w:b/>
                              <w:bCs/>
                              <w:lang w:val="en-US" w:eastAsia="zh-CN"/>
                            </w:rPr>
                            <w:t>23</w:t>
                          </w:r>
                        </w:p>
                      </w:txbxContent>
                    </wps:txbx>
                    <wps:bodyPr lIns="0" tIns="0" rIns="0" bIns="0" upright="1"/>
                  </wps:wsp>
                </a:graphicData>
              </a:graphic>
            </wp:anchor>
          </w:drawing>
        </mc:Choice>
        <mc:Fallback>
          <w:pict>
            <v:rect id="_x0000_s1026" o:spid="_x0000_s1026" o:spt="1" style="position:absolute;left:0pt;margin-left:275.85pt;margin-top:99.05pt;height:11.1pt;width:45.7pt;mso-position-horizontal-relative:page;mso-position-vertical-relative:page;z-index:-251641856;mso-width-relative:page;mso-height-relative:page;" filled="f" stroked="f" coordsize="21600,21600" o:gfxdata="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F94cJ3AAAAAsBAAAPAAAAAAAAAAEAIAAAACIAAABkcnMvZG93bnJldi54bWxQ&#10;SwECFAAUAAAACACHTuJA8ND31LoBAABxAwAADgAAAAAAAAABACAAAAArAQAAZHJzL2Uyb0RvYy54&#10;bWxQSwUGAAAAAAYABgBZAQAAVwUAAAAA&#10;">
              <v:fill on="f" focussize="0,0"/>
              <v:stroke on="f"/>
              <v:imagedata o:title=""/>
              <o:lock v:ext="edit" aspectratio="f"/>
              <v:textbox inset="0mm,0mm,0mm,0mm">
                <w:txbxContent>
                  <w:p>
                    <w:pPr>
                      <w:pStyle w:val="8"/>
                      <w:spacing w:line="251" w:lineRule="exact"/>
                      <w:ind w:left="20"/>
                      <w:rPr>
                        <w:rFonts w:hint="default" w:ascii="黑体" w:eastAsia="黑体"/>
                        <w:b/>
                        <w:bCs/>
                        <w:lang w:val="en-US" w:eastAsia="zh-CN"/>
                      </w:rPr>
                    </w:pPr>
                    <w:r>
                      <w:rPr>
                        <w:rFonts w:hint="eastAsia" w:ascii="黑体" w:eastAsia="黑体"/>
                        <w:b/>
                        <w:bCs/>
                      </w:rPr>
                      <w:t>续表</w:t>
                    </w:r>
                    <w:r>
                      <w:rPr>
                        <w:rFonts w:hint="eastAsia" w:ascii="黑体" w:eastAsia="黑体"/>
                        <w:b/>
                        <w:bCs/>
                        <w:lang w:val="en-US" w:eastAsia="zh-CN"/>
                      </w:rPr>
                      <w:t>23</w:t>
                    </w:r>
                  </w:p>
                </w:txbxContent>
              </v:textbox>
            </v:rect>
          </w:pict>
        </mc:Fallback>
      </mc:AlternateContent>
    </w:r>
    <w:r>
      <w:rPr>
        <w:lang w:val="en-US" w:bidi="ar-SA"/>
      </w:rPr>
      <mc:AlternateContent>
        <mc:Choice Requires="wps">
          <w:drawing>
            <wp:anchor distT="0" distB="0" distL="114300" distR="114300" simplePos="0" relativeHeight="251673600" behindDoc="1" locked="0" layoutInCell="1" allowOverlap="1">
              <wp:simplePos x="0" y="0"/>
              <wp:positionH relativeFrom="page">
                <wp:posOffset>5828030</wp:posOffset>
              </wp:positionH>
              <wp:positionV relativeFrom="page">
                <wp:posOffset>902335</wp:posOffset>
              </wp:positionV>
              <wp:extent cx="1026795" cy="173990"/>
              <wp:effectExtent l="0" t="0" r="0" b="0"/>
              <wp:wrapNone/>
              <wp:docPr id="108" name="矩形 108"/>
              <wp:cNvGraphicFramePr/>
              <a:graphic xmlns:a="http://schemas.openxmlformats.org/drawingml/2006/main">
                <a:graphicData uri="http://schemas.microsoft.com/office/word/2010/wordprocessingShape">
                  <wps:wsp>
                    <wps:cNvSpPr/>
                    <wps:spPr>
                      <a:xfrm>
                        <a:off x="0" y="0"/>
                        <a:ext cx="1026795"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458.9pt;margin-top:71.05pt;height:13.7pt;width:80.85pt;mso-position-horizontal-relative:page;mso-position-vertical-relative:page;z-index:-251642880;mso-width-relative:page;mso-height-relative:page;" filled="f" stroked="f" coordsize="21600,21600" o:gfxdata="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fF2T2gAAAAwBAAAPAAAAAAAAAAEAIAAAACIAAABkcnMvZG93bnJldi54bWxQ&#10;SwECFAAUAAAACACHTuJAtL5aXbwBAAByAwAADgAAAAAAAAABACAAAAApAQAAZHJzL2Uyb0RvYy54&#10;bWxQSwUGAAAAAAYABgBZAQAAVwU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71552" behindDoc="1" locked="0" layoutInCell="1" allowOverlap="1">
              <wp:simplePos x="0" y="0"/>
              <wp:positionH relativeFrom="page">
                <wp:posOffset>706120</wp:posOffset>
              </wp:positionH>
              <wp:positionV relativeFrom="page">
                <wp:posOffset>902335</wp:posOffset>
              </wp:positionV>
              <wp:extent cx="1027430" cy="173990"/>
              <wp:effectExtent l="0" t="0" r="0" b="0"/>
              <wp:wrapNone/>
              <wp:docPr id="110" name="矩形 110"/>
              <wp:cNvGraphicFramePr/>
              <a:graphic xmlns:a="http://schemas.openxmlformats.org/drawingml/2006/main">
                <a:graphicData uri="http://schemas.microsoft.com/office/word/2010/wordprocessingShape">
                  <wps:wsp>
                    <wps:cNvSpPr/>
                    <wps:spPr>
                      <a:xfrm>
                        <a:off x="0" y="0"/>
                        <a:ext cx="1027430"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55.6pt;margin-top:71.05pt;height:13.7pt;width:80.9pt;mso-position-horizontal-relative:page;mso-position-vertical-relative:page;z-index:-251644928;mso-width-relative:page;mso-height-relative:page;" filled="f" stroked="f" coordsize="21600,21600" o:gfxdata="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kEF2wAAAAsBAAAPAAAAAAAAAAEAIAAAACIAAABkcnMvZG93bnJldi54bWxQ&#10;SwECFAAUAAAACACHTuJA8i8RJbsBAAByAwAADgAAAAAAAAABACAAAAAqAQAAZHJzL2Uyb0RvYy54&#10;bWxQSwUGAAAAAAYABgBZAQAAVwU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r>
      <w:rPr>
        <w:lang w:val="en-US" w:bidi="ar-SA"/>
      </w:rPr>
      <mc:AlternateContent>
        <mc:Choice Requires="wps">
          <w:drawing>
            <wp:anchor distT="0" distB="0" distL="114300" distR="114300" simplePos="0" relativeHeight="251672576" behindDoc="1" locked="0" layoutInCell="1" allowOverlap="1">
              <wp:simplePos x="0" y="0"/>
              <wp:positionH relativeFrom="page">
                <wp:posOffset>3475990</wp:posOffset>
              </wp:positionH>
              <wp:positionV relativeFrom="page">
                <wp:posOffset>1238885</wp:posOffset>
              </wp:positionV>
              <wp:extent cx="427990" cy="160020"/>
              <wp:effectExtent l="0" t="0" r="0" b="0"/>
              <wp:wrapNone/>
              <wp:docPr id="111" name="矩形 111"/>
              <wp:cNvGraphicFramePr/>
              <a:graphic xmlns:a="http://schemas.openxmlformats.org/drawingml/2006/main">
                <a:graphicData uri="http://schemas.microsoft.com/office/word/2010/wordprocessingShape">
                  <wps:wsp>
                    <wps:cNvSpPr/>
                    <wps:spPr>
                      <a:xfrm>
                        <a:off x="0" y="0"/>
                        <a:ext cx="427990" cy="160020"/>
                      </a:xfrm>
                      <a:prstGeom prst="rect">
                        <a:avLst/>
                      </a:prstGeom>
                      <a:noFill/>
                      <a:ln w="9525">
                        <a:noFill/>
                      </a:ln>
                    </wps:spPr>
                    <wps:txbx>
                      <w:txbxContent>
                        <w:p>
                          <w:pPr>
                            <w:pStyle w:val="8"/>
                            <w:spacing w:line="251" w:lineRule="exact"/>
                            <w:ind w:left="20"/>
                            <w:rPr>
                              <w:rFonts w:ascii="黑体" w:eastAsia="黑体"/>
                            </w:rPr>
                          </w:pPr>
                          <w:r>
                            <w:rPr>
                              <w:rFonts w:hint="eastAsia" w:ascii="黑体" w:eastAsia="黑体"/>
                            </w:rPr>
                            <w:t>续表23</w:t>
                          </w:r>
                        </w:p>
                      </w:txbxContent>
                    </wps:txbx>
                    <wps:bodyPr lIns="0" tIns="0" rIns="0" bIns="0" upright="1"/>
                  </wps:wsp>
                </a:graphicData>
              </a:graphic>
            </wp:anchor>
          </w:drawing>
        </mc:Choice>
        <mc:Fallback>
          <w:pict>
            <v:rect id="_x0000_s1026" o:spid="_x0000_s1026" o:spt="1" style="position:absolute;left:0pt;margin-left:273.7pt;margin-top:97.55pt;height:12.6pt;width:33.7pt;mso-position-horizontal-relative:page;mso-position-vertical-relative:page;z-index:-251643904;mso-width-relative:page;mso-height-relative:page;" filled="f" stroked="f" coordsize="21600,21600" o:gfxdata="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APNStsAAAALAQAADwAAAAAAAAABACAAAAAiAAAAZHJzL2Rvd25yZXYueG1sUEsB&#10;AhQAFAAAAAgAh07iQBvvBWG5AQAAcQMAAA4AAAAAAAAAAQAgAAAAKgEAAGRycy9lMm9Eb2MueG1s&#10;UEsFBgAAAAAGAAYAWQEAAFUFAAAAAA==&#10;">
              <v:fill on="f" focussize="0,0"/>
              <v:stroke on="f"/>
              <v:imagedata o:title=""/>
              <o:lock v:ext="edit" aspectratio="f"/>
              <v:textbox inset="0mm,0mm,0mm,0mm">
                <w:txbxContent>
                  <w:p>
                    <w:pPr>
                      <w:pStyle w:val="8"/>
                      <w:spacing w:line="251" w:lineRule="exact"/>
                      <w:ind w:left="20"/>
                      <w:rPr>
                        <w:rFonts w:ascii="黑体" w:eastAsia="黑体"/>
                      </w:rPr>
                    </w:pPr>
                    <w:r>
                      <w:rPr>
                        <w:rFonts w:hint="eastAsia" w:ascii="黑体" w:eastAsia="黑体"/>
                      </w:rPr>
                      <w:t>续表23</w:t>
                    </w:r>
                  </w:p>
                </w:txbxContent>
              </v:textbox>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77696" behindDoc="1" locked="0" layoutInCell="1" allowOverlap="1">
              <wp:simplePos x="0" y="0"/>
              <wp:positionH relativeFrom="page">
                <wp:posOffset>5828030</wp:posOffset>
              </wp:positionH>
              <wp:positionV relativeFrom="page">
                <wp:posOffset>902335</wp:posOffset>
              </wp:positionV>
              <wp:extent cx="1026795" cy="173990"/>
              <wp:effectExtent l="0" t="0" r="0" b="0"/>
              <wp:wrapNone/>
              <wp:docPr id="113" name="矩形 113"/>
              <wp:cNvGraphicFramePr/>
              <a:graphic xmlns:a="http://schemas.openxmlformats.org/drawingml/2006/main">
                <a:graphicData uri="http://schemas.microsoft.com/office/word/2010/wordprocessingShape">
                  <wps:wsp>
                    <wps:cNvSpPr/>
                    <wps:spPr>
                      <a:xfrm>
                        <a:off x="0" y="0"/>
                        <a:ext cx="1026795"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458.9pt;margin-top:71.05pt;height:13.7pt;width:80.85pt;mso-position-horizontal-relative:page;mso-position-vertical-relative:page;z-index:-251638784;mso-width-relative:page;mso-height-relative:page;" filled="f" stroked="f" coordsize="21600,21600" o:gfxdata="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fF2T2gAAAAwBAAAPAAAAAAAAAAEAIAAAACIAAABkcnMvZG93bnJldi54bWxQ&#10;SwECFAAUAAAACACHTuJAX9TTybwBAAByAwAADgAAAAAAAAABACAAAAApAQAAZHJzL2Uyb0RvYy54&#10;bWxQSwUGAAAAAAYABgBZAQAAVwU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75648" behindDoc="1" locked="0" layoutInCell="1" allowOverlap="1">
              <wp:simplePos x="0" y="0"/>
              <wp:positionH relativeFrom="page">
                <wp:posOffset>706120</wp:posOffset>
              </wp:positionH>
              <wp:positionV relativeFrom="page">
                <wp:posOffset>902335</wp:posOffset>
              </wp:positionV>
              <wp:extent cx="1027430" cy="173990"/>
              <wp:effectExtent l="0" t="0" r="0" b="0"/>
              <wp:wrapNone/>
              <wp:docPr id="114" name="矩形 114"/>
              <wp:cNvGraphicFramePr/>
              <a:graphic xmlns:a="http://schemas.openxmlformats.org/drawingml/2006/main">
                <a:graphicData uri="http://schemas.microsoft.com/office/word/2010/wordprocessingShape">
                  <wps:wsp>
                    <wps:cNvSpPr/>
                    <wps:spPr>
                      <a:xfrm>
                        <a:off x="0" y="0"/>
                        <a:ext cx="1027430"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55.6pt;margin-top:71.05pt;height:13.7pt;width:80.9pt;mso-position-horizontal-relative:page;mso-position-vertical-relative:page;z-index:-251640832;mso-width-relative:page;mso-height-relative:page;" filled="f" stroked="f" coordsize="21600,21600" o:gfxdata="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UZBBdsAAAALAQAADwAAAAAAAAABACAAAAAiAAAAZHJzL2Rvd25yZXYueG1s&#10;UEsBAhQAFAAAAAgAh07iQA6TLDO8AQAAcgMAAA4AAAAAAAAAAQAgAAAAKgEAAGRycy9lMm9Eb2Mu&#10;eG1sUEsFBgAAAAAGAAYAWQEAAFgFA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r>
      <w:rPr>
        <w:lang w:val="en-US" w:bidi="ar-SA"/>
      </w:rPr>
      <mc:AlternateContent>
        <mc:Choice Requires="wps">
          <w:drawing>
            <wp:anchor distT="0" distB="0" distL="114300" distR="114300" simplePos="0" relativeHeight="251676672" behindDoc="1" locked="0" layoutInCell="1" allowOverlap="1">
              <wp:simplePos x="0" y="0"/>
              <wp:positionH relativeFrom="page">
                <wp:posOffset>3475990</wp:posOffset>
              </wp:positionH>
              <wp:positionV relativeFrom="page">
                <wp:posOffset>1238885</wp:posOffset>
              </wp:positionV>
              <wp:extent cx="427990" cy="160020"/>
              <wp:effectExtent l="0" t="0" r="0" b="0"/>
              <wp:wrapNone/>
              <wp:docPr id="115" name="矩形 115"/>
              <wp:cNvGraphicFramePr/>
              <a:graphic xmlns:a="http://schemas.openxmlformats.org/drawingml/2006/main">
                <a:graphicData uri="http://schemas.microsoft.com/office/word/2010/wordprocessingShape">
                  <wps:wsp>
                    <wps:cNvSpPr/>
                    <wps:spPr>
                      <a:xfrm>
                        <a:off x="0" y="0"/>
                        <a:ext cx="427990" cy="160020"/>
                      </a:xfrm>
                      <a:prstGeom prst="rect">
                        <a:avLst/>
                      </a:prstGeom>
                      <a:noFill/>
                      <a:ln w="9525">
                        <a:noFill/>
                      </a:ln>
                    </wps:spPr>
                    <wps:txbx>
                      <w:txbxContent>
                        <w:p>
                          <w:pPr>
                            <w:pStyle w:val="8"/>
                            <w:spacing w:line="251" w:lineRule="exact"/>
                            <w:ind w:left="20"/>
                            <w:rPr>
                              <w:rFonts w:ascii="黑体" w:eastAsia="黑体"/>
                            </w:rPr>
                          </w:pPr>
                          <w:r>
                            <w:rPr>
                              <w:rFonts w:hint="eastAsia" w:ascii="黑体" w:eastAsia="黑体"/>
                            </w:rPr>
                            <w:t>续表27</w:t>
                          </w:r>
                        </w:p>
                      </w:txbxContent>
                    </wps:txbx>
                    <wps:bodyPr lIns="0" tIns="0" rIns="0" bIns="0" upright="1"/>
                  </wps:wsp>
                </a:graphicData>
              </a:graphic>
            </wp:anchor>
          </w:drawing>
        </mc:Choice>
        <mc:Fallback>
          <w:pict>
            <v:rect id="_x0000_s1026" o:spid="_x0000_s1026" o:spt="1" style="position:absolute;left:0pt;margin-left:273.7pt;margin-top:97.55pt;height:12.6pt;width:33.7pt;mso-position-horizontal-relative:page;mso-position-vertical-relative:page;z-index:-251639808;mso-width-relative:page;mso-height-relative:page;" filled="f" stroked="f" coordsize="21600,21600" o:gfxdata="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wDzUrbAAAACwEAAA8AAAAAAAAAAQAgAAAAIgAAAGRycy9kb3ducmV2LnhtbFBL&#10;AQIUABQAAAAIAIdO4kDEVnYwugEAAHEDAAAOAAAAAAAAAAEAIAAAACoBAABkcnMvZTJvRG9jLnht&#10;bFBLBQYAAAAABgAGAFkBAABWBQAAAAA=&#10;">
              <v:fill on="f" focussize="0,0"/>
              <v:stroke on="f"/>
              <v:imagedata o:title=""/>
              <o:lock v:ext="edit" aspectratio="f"/>
              <v:textbox inset="0mm,0mm,0mm,0mm">
                <w:txbxContent>
                  <w:p>
                    <w:pPr>
                      <w:pStyle w:val="8"/>
                      <w:spacing w:line="251" w:lineRule="exact"/>
                      <w:ind w:left="20"/>
                      <w:rPr>
                        <w:rFonts w:ascii="黑体" w:eastAsia="黑体"/>
                      </w:rPr>
                    </w:pPr>
                    <w:r>
                      <w:rPr>
                        <w:rFonts w:hint="eastAsia" w:ascii="黑体" w:eastAsia="黑体"/>
                      </w:rPr>
                      <w:t>续表27</w:t>
                    </w:r>
                  </w:p>
                </w:txbxContent>
              </v:textbox>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80768" behindDoc="1" locked="0" layoutInCell="1" allowOverlap="1">
              <wp:simplePos x="0" y="0"/>
              <wp:positionH relativeFrom="page">
                <wp:posOffset>5828030</wp:posOffset>
              </wp:positionH>
              <wp:positionV relativeFrom="page">
                <wp:posOffset>902335</wp:posOffset>
              </wp:positionV>
              <wp:extent cx="1026795" cy="173990"/>
              <wp:effectExtent l="0" t="0" r="0" b="0"/>
              <wp:wrapNone/>
              <wp:docPr id="118" name="矩形 118"/>
              <wp:cNvGraphicFramePr/>
              <a:graphic xmlns:a="http://schemas.openxmlformats.org/drawingml/2006/main">
                <a:graphicData uri="http://schemas.microsoft.com/office/word/2010/wordprocessingShape">
                  <wps:wsp>
                    <wps:cNvSpPr/>
                    <wps:spPr>
                      <a:xfrm>
                        <a:off x="0" y="0"/>
                        <a:ext cx="1026795" cy="173990"/>
                      </a:xfrm>
                      <a:prstGeom prst="rect">
                        <a:avLst/>
                      </a:prstGeom>
                      <a:noFill/>
                      <a:ln w="9525">
                        <a:noFill/>
                      </a:ln>
                    </wps:spPr>
                    <wps:txbx>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lIns="0" tIns="0" rIns="0" bIns="0" upright="1"/>
                  </wps:wsp>
                </a:graphicData>
              </a:graphic>
            </wp:anchor>
          </w:drawing>
        </mc:Choice>
        <mc:Fallback>
          <w:pict>
            <v:rect id="_x0000_s1026" o:spid="_x0000_s1026" o:spt="1" style="position:absolute;left:0pt;margin-left:458.9pt;margin-top:71.05pt;height:13.7pt;width:80.85pt;mso-position-horizontal-relative:page;mso-position-vertical-relative:page;z-index:-251635712;mso-width-relative:page;mso-height-relative:page;" filled="f" stroked="f" coordsize="21600,21600" o:gfxdata="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fF2T2gAAAAwBAAAPAAAAAAAAAAEAIAAAACIAAABkcnMvZG93bnJldi54bWxQ&#10;SwECFAAUAAAACACHTuJA5hw567wBAAByAwAADgAAAAAAAAABACAAAAApAQAAZHJzL2Uyb0RvYy54&#10;bWxQSwUGAAAAAAYABgBZAQAAVwUAAAAA&#10;">
              <v:fill on="f" focussize="0,0"/>
              <v:stroke on="f"/>
              <v:imagedata o:title=""/>
              <o:lock v:ext="edit" aspectratio="f"/>
              <v:textbox inset="0mm,0mm,0mm,0mm">
                <w:txbxContent>
                  <w:p>
                    <w:pPr>
                      <w:pStyle w:val="8"/>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8"/>
      <w:numFmt w:val="decimal"/>
      <w:lvlText w:val="%1"/>
      <w:lvlJc w:val="left"/>
      <w:pPr>
        <w:ind w:left="468" w:hanging="361"/>
      </w:pPr>
      <w:rPr>
        <w:rFonts w:hint="default" w:ascii="Times New Roman" w:hAnsi="Times New Roman" w:eastAsia="Times New Roman" w:cs="Times New Roman"/>
        <w:w w:val="100"/>
        <w:sz w:val="18"/>
        <w:szCs w:val="18"/>
        <w:lang w:val="zh-CN" w:eastAsia="zh-CN" w:bidi="zh-CN"/>
      </w:rPr>
    </w:lvl>
    <w:lvl w:ilvl="1" w:tentative="0">
      <w:start w:val="0"/>
      <w:numFmt w:val="bullet"/>
      <w:lvlText w:val="•"/>
      <w:lvlJc w:val="left"/>
      <w:pPr>
        <w:ind w:left="844" w:hanging="361"/>
      </w:pPr>
      <w:rPr>
        <w:rFonts w:hint="default"/>
        <w:lang w:val="zh-CN" w:eastAsia="zh-CN" w:bidi="zh-CN"/>
      </w:rPr>
    </w:lvl>
    <w:lvl w:ilvl="2" w:tentative="0">
      <w:start w:val="0"/>
      <w:numFmt w:val="bullet"/>
      <w:lvlText w:val="•"/>
      <w:lvlJc w:val="left"/>
      <w:pPr>
        <w:ind w:left="1228" w:hanging="361"/>
      </w:pPr>
      <w:rPr>
        <w:rFonts w:hint="default"/>
        <w:lang w:val="zh-CN" w:eastAsia="zh-CN" w:bidi="zh-CN"/>
      </w:rPr>
    </w:lvl>
    <w:lvl w:ilvl="3" w:tentative="0">
      <w:start w:val="0"/>
      <w:numFmt w:val="bullet"/>
      <w:lvlText w:val="•"/>
      <w:lvlJc w:val="left"/>
      <w:pPr>
        <w:ind w:left="1612" w:hanging="361"/>
      </w:pPr>
      <w:rPr>
        <w:rFonts w:hint="default"/>
        <w:lang w:val="zh-CN" w:eastAsia="zh-CN" w:bidi="zh-CN"/>
      </w:rPr>
    </w:lvl>
    <w:lvl w:ilvl="4" w:tentative="0">
      <w:start w:val="0"/>
      <w:numFmt w:val="bullet"/>
      <w:lvlText w:val="•"/>
      <w:lvlJc w:val="left"/>
      <w:pPr>
        <w:ind w:left="1996" w:hanging="361"/>
      </w:pPr>
      <w:rPr>
        <w:rFonts w:hint="default"/>
        <w:lang w:val="zh-CN" w:eastAsia="zh-CN" w:bidi="zh-CN"/>
      </w:rPr>
    </w:lvl>
    <w:lvl w:ilvl="5" w:tentative="0">
      <w:start w:val="0"/>
      <w:numFmt w:val="bullet"/>
      <w:lvlText w:val="•"/>
      <w:lvlJc w:val="left"/>
      <w:pPr>
        <w:ind w:left="2380" w:hanging="361"/>
      </w:pPr>
      <w:rPr>
        <w:rFonts w:hint="default"/>
        <w:lang w:val="zh-CN" w:eastAsia="zh-CN" w:bidi="zh-CN"/>
      </w:rPr>
    </w:lvl>
    <w:lvl w:ilvl="6" w:tentative="0">
      <w:start w:val="0"/>
      <w:numFmt w:val="bullet"/>
      <w:lvlText w:val="•"/>
      <w:lvlJc w:val="left"/>
      <w:pPr>
        <w:ind w:left="2764" w:hanging="361"/>
      </w:pPr>
      <w:rPr>
        <w:rFonts w:hint="default"/>
        <w:lang w:val="zh-CN" w:eastAsia="zh-CN" w:bidi="zh-CN"/>
      </w:rPr>
    </w:lvl>
    <w:lvl w:ilvl="7" w:tentative="0">
      <w:start w:val="0"/>
      <w:numFmt w:val="bullet"/>
      <w:lvlText w:val="•"/>
      <w:lvlJc w:val="left"/>
      <w:pPr>
        <w:ind w:left="3148" w:hanging="361"/>
      </w:pPr>
      <w:rPr>
        <w:rFonts w:hint="default"/>
        <w:lang w:val="zh-CN" w:eastAsia="zh-CN" w:bidi="zh-CN"/>
      </w:rPr>
    </w:lvl>
    <w:lvl w:ilvl="8" w:tentative="0">
      <w:start w:val="0"/>
      <w:numFmt w:val="bullet"/>
      <w:lvlText w:val="•"/>
      <w:lvlJc w:val="left"/>
      <w:pPr>
        <w:ind w:left="3532" w:hanging="361"/>
      </w:pPr>
      <w:rPr>
        <w:rFonts w:hint="default"/>
        <w:lang w:val="zh-CN" w:eastAsia="zh-CN" w:bidi="zh-CN"/>
      </w:rPr>
    </w:lvl>
  </w:abstractNum>
  <w:abstractNum w:abstractNumId="1">
    <w:nsid w:val="B5E306ED"/>
    <w:multiLevelType w:val="multilevel"/>
    <w:tmpl w:val="B5E306ED"/>
    <w:lvl w:ilvl="0" w:tentative="0">
      <w:start w:val="4"/>
      <w:numFmt w:val="decimal"/>
      <w:lvlText w:val="%1"/>
      <w:lvlJc w:val="left"/>
      <w:pPr>
        <w:ind w:left="866" w:hanging="370"/>
      </w:pPr>
      <w:rPr>
        <w:rFonts w:hint="default"/>
        <w:lang w:val="zh-CN" w:eastAsia="zh-CN" w:bidi="zh-CN"/>
      </w:rPr>
    </w:lvl>
    <w:lvl w:ilvl="1" w:tentative="0">
      <w:start w:val="2"/>
      <w:numFmt w:val="decimal"/>
      <w:lvlText w:val="%1.%2"/>
      <w:lvlJc w:val="left"/>
      <w:pPr>
        <w:ind w:left="866" w:hanging="370"/>
      </w:pPr>
      <w:rPr>
        <w:rFonts w:hint="default"/>
        <w:w w:val="100"/>
        <w:lang w:val="zh-CN" w:eastAsia="zh-CN" w:bidi="zh-CN"/>
      </w:rPr>
    </w:lvl>
    <w:lvl w:ilvl="2" w:tentative="0">
      <w:start w:val="1"/>
      <w:numFmt w:val="decimal"/>
      <w:lvlText w:val="%1.%2.%3"/>
      <w:lvlJc w:val="left"/>
      <w:pPr>
        <w:ind w:left="1230" w:hanging="735"/>
      </w:pPr>
      <w:rPr>
        <w:rFonts w:hint="default"/>
        <w:w w:val="100"/>
        <w:lang w:val="zh-CN" w:eastAsia="zh-CN" w:bidi="zh-CN"/>
      </w:rPr>
    </w:lvl>
    <w:lvl w:ilvl="3" w:tentative="0">
      <w:start w:val="0"/>
      <w:numFmt w:val="bullet"/>
      <w:lvlText w:val="•"/>
      <w:lvlJc w:val="left"/>
      <w:pPr>
        <w:ind w:left="1120" w:hanging="735"/>
      </w:pPr>
      <w:rPr>
        <w:rFonts w:hint="default"/>
        <w:lang w:val="zh-CN" w:eastAsia="zh-CN" w:bidi="zh-CN"/>
      </w:rPr>
    </w:lvl>
    <w:lvl w:ilvl="4" w:tentative="0">
      <w:start w:val="0"/>
      <w:numFmt w:val="bullet"/>
      <w:lvlText w:val="•"/>
      <w:lvlJc w:val="left"/>
      <w:pPr>
        <w:ind w:left="1240" w:hanging="735"/>
      </w:pPr>
      <w:rPr>
        <w:rFonts w:hint="default"/>
        <w:lang w:val="zh-CN" w:eastAsia="zh-CN" w:bidi="zh-CN"/>
      </w:rPr>
    </w:lvl>
    <w:lvl w:ilvl="5" w:tentative="0">
      <w:start w:val="0"/>
      <w:numFmt w:val="bullet"/>
      <w:lvlText w:val="•"/>
      <w:lvlJc w:val="left"/>
      <w:pPr>
        <w:ind w:left="2747" w:hanging="735"/>
      </w:pPr>
      <w:rPr>
        <w:rFonts w:hint="default"/>
        <w:lang w:val="zh-CN" w:eastAsia="zh-CN" w:bidi="zh-CN"/>
      </w:rPr>
    </w:lvl>
    <w:lvl w:ilvl="6" w:tentative="0">
      <w:start w:val="0"/>
      <w:numFmt w:val="bullet"/>
      <w:lvlText w:val="•"/>
      <w:lvlJc w:val="left"/>
      <w:pPr>
        <w:ind w:left="4255" w:hanging="735"/>
      </w:pPr>
      <w:rPr>
        <w:rFonts w:hint="default"/>
        <w:lang w:val="zh-CN" w:eastAsia="zh-CN" w:bidi="zh-CN"/>
      </w:rPr>
    </w:lvl>
    <w:lvl w:ilvl="7" w:tentative="0">
      <w:start w:val="0"/>
      <w:numFmt w:val="bullet"/>
      <w:lvlText w:val="•"/>
      <w:lvlJc w:val="left"/>
      <w:pPr>
        <w:ind w:left="5763" w:hanging="735"/>
      </w:pPr>
      <w:rPr>
        <w:rFonts w:hint="default"/>
        <w:lang w:val="zh-CN" w:eastAsia="zh-CN" w:bidi="zh-CN"/>
      </w:rPr>
    </w:lvl>
    <w:lvl w:ilvl="8" w:tentative="0">
      <w:start w:val="0"/>
      <w:numFmt w:val="bullet"/>
      <w:lvlText w:val="•"/>
      <w:lvlJc w:val="left"/>
      <w:pPr>
        <w:ind w:left="7270" w:hanging="735"/>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810" w:hanging="315"/>
      </w:pPr>
      <w:rPr>
        <w:rFonts w:hint="default" w:ascii="黑体" w:hAnsi="黑体" w:eastAsia="黑体" w:cs="黑体"/>
        <w:w w:val="100"/>
        <w:sz w:val="21"/>
        <w:szCs w:val="21"/>
        <w:lang w:val="zh-CN" w:eastAsia="zh-CN" w:bidi="zh-CN"/>
      </w:rPr>
    </w:lvl>
    <w:lvl w:ilvl="1" w:tentative="0">
      <w:start w:val="1"/>
      <w:numFmt w:val="decimal"/>
      <w:lvlText w:val="%1.%2"/>
      <w:lvlJc w:val="left"/>
      <w:pPr>
        <w:ind w:left="761" w:hanging="265"/>
      </w:pPr>
      <w:rPr>
        <w:rFonts w:hint="default" w:ascii="Times New Roman" w:hAnsi="Times New Roman" w:eastAsia="Times New Roman" w:cs="Times New Roman"/>
        <w:w w:val="100"/>
        <w:sz w:val="19"/>
        <w:szCs w:val="19"/>
        <w:lang w:val="zh-CN" w:eastAsia="zh-CN" w:bidi="zh-CN"/>
      </w:rPr>
    </w:lvl>
    <w:lvl w:ilvl="2" w:tentative="0">
      <w:start w:val="1"/>
      <w:numFmt w:val="decimal"/>
      <w:lvlText w:val="%1.%2.%3"/>
      <w:lvlJc w:val="left"/>
      <w:pPr>
        <w:ind w:left="741" w:hanging="527"/>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820" w:hanging="527"/>
      </w:pPr>
      <w:rPr>
        <w:rFonts w:hint="default"/>
        <w:lang w:val="zh-CN" w:eastAsia="zh-CN" w:bidi="zh-CN"/>
      </w:rPr>
    </w:lvl>
    <w:lvl w:ilvl="4" w:tentative="0">
      <w:start w:val="0"/>
      <w:numFmt w:val="bullet"/>
      <w:lvlText w:val="•"/>
      <w:lvlJc w:val="left"/>
      <w:pPr>
        <w:ind w:left="860" w:hanging="527"/>
      </w:pPr>
      <w:rPr>
        <w:rFonts w:hint="default"/>
        <w:lang w:val="zh-CN" w:eastAsia="zh-CN" w:bidi="zh-CN"/>
      </w:rPr>
    </w:lvl>
    <w:lvl w:ilvl="5" w:tentative="0">
      <w:start w:val="0"/>
      <w:numFmt w:val="bullet"/>
      <w:lvlText w:val="•"/>
      <w:lvlJc w:val="left"/>
      <w:pPr>
        <w:ind w:left="2431" w:hanging="527"/>
      </w:pPr>
      <w:rPr>
        <w:rFonts w:hint="default"/>
        <w:lang w:val="zh-CN" w:eastAsia="zh-CN" w:bidi="zh-CN"/>
      </w:rPr>
    </w:lvl>
    <w:lvl w:ilvl="6" w:tentative="0">
      <w:start w:val="0"/>
      <w:numFmt w:val="bullet"/>
      <w:lvlText w:val="•"/>
      <w:lvlJc w:val="left"/>
      <w:pPr>
        <w:ind w:left="4002" w:hanging="527"/>
      </w:pPr>
      <w:rPr>
        <w:rFonts w:hint="default"/>
        <w:lang w:val="zh-CN" w:eastAsia="zh-CN" w:bidi="zh-CN"/>
      </w:rPr>
    </w:lvl>
    <w:lvl w:ilvl="7" w:tentative="0">
      <w:start w:val="0"/>
      <w:numFmt w:val="bullet"/>
      <w:lvlText w:val="•"/>
      <w:lvlJc w:val="left"/>
      <w:pPr>
        <w:ind w:left="5573" w:hanging="527"/>
      </w:pPr>
      <w:rPr>
        <w:rFonts w:hint="default"/>
        <w:lang w:val="zh-CN" w:eastAsia="zh-CN" w:bidi="zh-CN"/>
      </w:rPr>
    </w:lvl>
    <w:lvl w:ilvl="8" w:tentative="0">
      <w:start w:val="0"/>
      <w:numFmt w:val="bullet"/>
      <w:lvlText w:val="•"/>
      <w:lvlJc w:val="left"/>
      <w:pPr>
        <w:ind w:left="7144" w:hanging="527"/>
      </w:pPr>
      <w:rPr>
        <w:rFonts w:hint="default"/>
        <w:lang w:val="zh-CN" w:eastAsia="zh-CN" w:bidi="zh-CN"/>
      </w:rPr>
    </w:lvl>
  </w:abstractNum>
  <w:abstractNum w:abstractNumId="3">
    <w:nsid w:val="C8879AEF"/>
    <w:multiLevelType w:val="multilevel"/>
    <w:tmpl w:val="C8879AEF"/>
    <w:lvl w:ilvl="0" w:tentative="0">
      <w:start w:val="8"/>
      <w:numFmt w:val="decimal"/>
      <w:lvlText w:val="%1"/>
      <w:lvlJc w:val="left"/>
      <w:pPr>
        <w:ind w:left="467" w:hanging="360"/>
      </w:pPr>
      <w:rPr>
        <w:rFonts w:hint="default" w:ascii="Times New Roman" w:hAnsi="Times New Roman" w:eastAsia="Times New Roman" w:cs="Times New Roman"/>
        <w:w w:val="100"/>
        <w:sz w:val="18"/>
        <w:szCs w:val="18"/>
        <w:lang w:val="zh-CN" w:eastAsia="zh-CN" w:bidi="zh-CN"/>
      </w:rPr>
    </w:lvl>
    <w:lvl w:ilvl="1" w:tentative="0">
      <w:start w:val="0"/>
      <w:numFmt w:val="bullet"/>
      <w:lvlText w:val="•"/>
      <w:lvlJc w:val="left"/>
      <w:pPr>
        <w:ind w:left="680" w:hanging="360"/>
      </w:pPr>
      <w:rPr>
        <w:rFonts w:hint="default"/>
        <w:lang w:val="zh-CN" w:eastAsia="zh-CN" w:bidi="zh-CN"/>
      </w:rPr>
    </w:lvl>
    <w:lvl w:ilvl="2" w:tentative="0">
      <w:start w:val="0"/>
      <w:numFmt w:val="bullet"/>
      <w:lvlText w:val="•"/>
      <w:lvlJc w:val="left"/>
      <w:pPr>
        <w:ind w:left="901" w:hanging="360"/>
      </w:pPr>
      <w:rPr>
        <w:rFonts w:hint="default"/>
        <w:lang w:val="zh-CN" w:eastAsia="zh-CN" w:bidi="zh-CN"/>
      </w:rPr>
    </w:lvl>
    <w:lvl w:ilvl="3" w:tentative="0">
      <w:start w:val="0"/>
      <w:numFmt w:val="bullet"/>
      <w:lvlText w:val="•"/>
      <w:lvlJc w:val="left"/>
      <w:pPr>
        <w:ind w:left="1122" w:hanging="360"/>
      </w:pPr>
      <w:rPr>
        <w:rFonts w:hint="default"/>
        <w:lang w:val="zh-CN" w:eastAsia="zh-CN" w:bidi="zh-CN"/>
      </w:rPr>
    </w:lvl>
    <w:lvl w:ilvl="4" w:tentative="0">
      <w:start w:val="0"/>
      <w:numFmt w:val="bullet"/>
      <w:lvlText w:val="•"/>
      <w:lvlJc w:val="left"/>
      <w:pPr>
        <w:ind w:left="1342" w:hanging="360"/>
      </w:pPr>
      <w:rPr>
        <w:rFonts w:hint="default"/>
        <w:lang w:val="zh-CN" w:eastAsia="zh-CN" w:bidi="zh-CN"/>
      </w:rPr>
    </w:lvl>
    <w:lvl w:ilvl="5" w:tentative="0">
      <w:start w:val="0"/>
      <w:numFmt w:val="bullet"/>
      <w:lvlText w:val="•"/>
      <w:lvlJc w:val="left"/>
      <w:pPr>
        <w:ind w:left="1563" w:hanging="360"/>
      </w:pPr>
      <w:rPr>
        <w:rFonts w:hint="default"/>
        <w:lang w:val="zh-CN" w:eastAsia="zh-CN" w:bidi="zh-CN"/>
      </w:rPr>
    </w:lvl>
    <w:lvl w:ilvl="6" w:tentative="0">
      <w:start w:val="0"/>
      <w:numFmt w:val="bullet"/>
      <w:lvlText w:val="•"/>
      <w:lvlJc w:val="left"/>
      <w:pPr>
        <w:ind w:left="1784" w:hanging="360"/>
      </w:pPr>
      <w:rPr>
        <w:rFonts w:hint="default"/>
        <w:lang w:val="zh-CN" w:eastAsia="zh-CN" w:bidi="zh-CN"/>
      </w:rPr>
    </w:lvl>
    <w:lvl w:ilvl="7" w:tentative="0">
      <w:start w:val="0"/>
      <w:numFmt w:val="bullet"/>
      <w:lvlText w:val="•"/>
      <w:lvlJc w:val="left"/>
      <w:pPr>
        <w:ind w:left="2004" w:hanging="360"/>
      </w:pPr>
      <w:rPr>
        <w:rFonts w:hint="default"/>
        <w:lang w:val="zh-CN" w:eastAsia="zh-CN" w:bidi="zh-CN"/>
      </w:rPr>
    </w:lvl>
    <w:lvl w:ilvl="8" w:tentative="0">
      <w:start w:val="0"/>
      <w:numFmt w:val="bullet"/>
      <w:lvlText w:val="•"/>
      <w:lvlJc w:val="left"/>
      <w:pPr>
        <w:ind w:left="2225" w:hanging="360"/>
      </w:pPr>
      <w:rPr>
        <w:rFonts w:hint="default"/>
        <w:lang w:val="zh-CN" w:eastAsia="zh-CN" w:bidi="zh-CN"/>
      </w:rPr>
    </w:lvl>
  </w:abstractNum>
  <w:abstractNum w:abstractNumId="4">
    <w:nsid w:val="CF092B84"/>
    <w:multiLevelType w:val="multilevel"/>
    <w:tmpl w:val="CF092B84"/>
    <w:lvl w:ilvl="0" w:tentative="0">
      <w:start w:val="4"/>
      <w:numFmt w:val="decimal"/>
      <w:lvlText w:val="%1"/>
      <w:lvlJc w:val="left"/>
      <w:pPr>
        <w:ind w:left="866" w:hanging="370"/>
      </w:pPr>
      <w:rPr>
        <w:rFonts w:hint="default"/>
        <w:lang w:val="zh-CN" w:eastAsia="zh-CN" w:bidi="zh-CN"/>
      </w:rPr>
    </w:lvl>
    <w:lvl w:ilvl="1" w:tentative="0">
      <w:start w:val="6"/>
      <w:numFmt w:val="decimal"/>
      <w:lvlText w:val="%1.%2"/>
      <w:lvlJc w:val="left"/>
      <w:pPr>
        <w:ind w:left="866"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745" w:hanging="370"/>
      </w:pPr>
      <w:rPr>
        <w:rFonts w:hint="default"/>
        <w:lang w:val="zh-CN" w:eastAsia="zh-CN" w:bidi="zh-CN"/>
      </w:rPr>
    </w:lvl>
    <w:lvl w:ilvl="3" w:tentative="0">
      <w:start w:val="0"/>
      <w:numFmt w:val="bullet"/>
      <w:lvlText w:val="•"/>
      <w:lvlJc w:val="left"/>
      <w:pPr>
        <w:ind w:left="3687" w:hanging="370"/>
      </w:pPr>
      <w:rPr>
        <w:rFonts w:hint="default"/>
        <w:lang w:val="zh-CN" w:eastAsia="zh-CN" w:bidi="zh-CN"/>
      </w:rPr>
    </w:lvl>
    <w:lvl w:ilvl="4" w:tentative="0">
      <w:start w:val="0"/>
      <w:numFmt w:val="bullet"/>
      <w:lvlText w:val="•"/>
      <w:lvlJc w:val="left"/>
      <w:pPr>
        <w:ind w:left="4630" w:hanging="370"/>
      </w:pPr>
      <w:rPr>
        <w:rFonts w:hint="default"/>
        <w:lang w:val="zh-CN" w:eastAsia="zh-CN" w:bidi="zh-CN"/>
      </w:rPr>
    </w:lvl>
    <w:lvl w:ilvl="5" w:tentative="0">
      <w:start w:val="0"/>
      <w:numFmt w:val="bullet"/>
      <w:lvlText w:val="•"/>
      <w:lvlJc w:val="left"/>
      <w:pPr>
        <w:ind w:left="5573" w:hanging="370"/>
      </w:pPr>
      <w:rPr>
        <w:rFonts w:hint="default"/>
        <w:lang w:val="zh-CN" w:eastAsia="zh-CN" w:bidi="zh-CN"/>
      </w:rPr>
    </w:lvl>
    <w:lvl w:ilvl="6" w:tentative="0">
      <w:start w:val="0"/>
      <w:numFmt w:val="bullet"/>
      <w:lvlText w:val="•"/>
      <w:lvlJc w:val="left"/>
      <w:pPr>
        <w:ind w:left="6515" w:hanging="370"/>
      </w:pPr>
      <w:rPr>
        <w:rFonts w:hint="default"/>
        <w:lang w:val="zh-CN" w:eastAsia="zh-CN" w:bidi="zh-CN"/>
      </w:rPr>
    </w:lvl>
    <w:lvl w:ilvl="7" w:tentative="0">
      <w:start w:val="0"/>
      <w:numFmt w:val="bullet"/>
      <w:lvlText w:val="•"/>
      <w:lvlJc w:val="left"/>
      <w:pPr>
        <w:ind w:left="7458" w:hanging="370"/>
      </w:pPr>
      <w:rPr>
        <w:rFonts w:hint="default"/>
        <w:lang w:val="zh-CN" w:eastAsia="zh-CN" w:bidi="zh-CN"/>
      </w:rPr>
    </w:lvl>
    <w:lvl w:ilvl="8" w:tentative="0">
      <w:start w:val="0"/>
      <w:numFmt w:val="bullet"/>
      <w:lvlText w:val="•"/>
      <w:lvlJc w:val="left"/>
      <w:pPr>
        <w:ind w:left="8401" w:hanging="370"/>
      </w:pPr>
      <w:rPr>
        <w:rFonts w:hint="default"/>
        <w:lang w:val="zh-CN" w:eastAsia="zh-CN" w:bidi="zh-CN"/>
      </w:rPr>
    </w:lvl>
  </w:abstractNum>
  <w:abstractNum w:abstractNumId="5">
    <w:nsid w:val="DCBA6B53"/>
    <w:multiLevelType w:val="multilevel"/>
    <w:tmpl w:val="DCBA6B53"/>
    <w:lvl w:ilvl="0" w:tentative="0">
      <w:start w:val="1"/>
      <w:numFmt w:val="decimal"/>
      <w:lvlText w:val="[%1]"/>
      <w:lvlJc w:val="left"/>
      <w:pPr>
        <w:ind w:left="738" w:hanging="527"/>
      </w:pPr>
      <w:rPr>
        <w:rFonts w:hint="default" w:ascii="宋体" w:hAnsi="宋体" w:eastAsia="宋体" w:cs="宋体"/>
        <w:w w:val="100"/>
        <w:sz w:val="21"/>
        <w:szCs w:val="21"/>
        <w:lang w:val="zh-CN" w:eastAsia="zh-CN" w:bidi="zh-CN"/>
      </w:rPr>
    </w:lvl>
    <w:lvl w:ilvl="1" w:tentative="0">
      <w:start w:val="0"/>
      <w:numFmt w:val="bullet"/>
      <w:lvlText w:val="•"/>
      <w:lvlJc w:val="left"/>
      <w:pPr>
        <w:ind w:left="1694" w:hanging="527"/>
      </w:pPr>
      <w:rPr>
        <w:rFonts w:hint="default"/>
        <w:lang w:val="zh-CN" w:eastAsia="zh-CN" w:bidi="zh-CN"/>
      </w:rPr>
    </w:lvl>
    <w:lvl w:ilvl="2" w:tentative="0">
      <w:start w:val="0"/>
      <w:numFmt w:val="bullet"/>
      <w:lvlText w:val="•"/>
      <w:lvlJc w:val="left"/>
      <w:pPr>
        <w:ind w:left="2649" w:hanging="527"/>
      </w:pPr>
      <w:rPr>
        <w:rFonts w:hint="default"/>
        <w:lang w:val="zh-CN" w:eastAsia="zh-CN" w:bidi="zh-CN"/>
      </w:rPr>
    </w:lvl>
    <w:lvl w:ilvl="3" w:tentative="0">
      <w:start w:val="0"/>
      <w:numFmt w:val="bullet"/>
      <w:lvlText w:val="•"/>
      <w:lvlJc w:val="left"/>
      <w:pPr>
        <w:ind w:left="3603" w:hanging="527"/>
      </w:pPr>
      <w:rPr>
        <w:rFonts w:hint="default"/>
        <w:lang w:val="zh-CN" w:eastAsia="zh-CN" w:bidi="zh-CN"/>
      </w:rPr>
    </w:lvl>
    <w:lvl w:ilvl="4" w:tentative="0">
      <w:start w:val="0"/>
      <w:numFmt w:val="bullet"/>
      <w:lvlText w:val="•"/>
      <w:lvlJc w:val="left"/>
      <w:pPr>
        <w:ind w:left="4558" w:hanging="527"/>
      </w:pPr>
      <w:rPr>
        <w:rFonts w:hint="default"/>
        <w:lang w:val="zh-CN" w:eastAsia="zh-CN" w:bidi="zh-CN"/>
      </w:rPr>
    </w:lvl>
    <w:lvl w:ilvl="5" w:tentative="0">
      <w:start w:val="0"/>
      <w:numFmt w:val="bullet"/>
      <w:lvlText w:val="•"/>
      <w:lvlJc w:val="left"/>
      <w:pPr>
        <w:ind w:left="5513" w:hanging="527"/>
      </w:pPr>
      <w:rPr>
        <w:rFonts w:hint="default"/>
        <w:lang w:val="zh-CN" w:eastAsia="zh-CN" w:bidi="zh-CN"/>
      </w:rPr>
    </w:lvl>
    <w:lvl w:ilvl="6" w:tentative="0">
      <w:start w:val="0"/>
      <w:numFmt w:val="bullet"/>
      <w:lvlText w:val="•"/>
      <w:lvlJc w:val="left"/>
      <w:pPr>
        <w:ind w:left="6467" w:hanging="527"/>
      </w:pPr>
      <w:rPr>
        <w:rFonts w:hint="default"/>
        <w:lang w:val="zh-CN" w:eastAsia="zh-CN" w:bidi="zh-CN"/>
      </w:rPr>
    </w:lvl>
    <w:lvl w:ilvl="7" w:tentative="0">
      <w:start w:val="0"/>
      <w:numFmt w:val="bullet"/>
      <w:lvlText w:val="•"/>
      <w:lvlJc w:val="left"/>
      <w:pPr>
        <w:ind w:left="7422" w:hanging="527"/>
      </w:pPr>
      <w:rPr>
        <w:rFonts w:hint="default"/>
        <w:lang w:val="zh-CN" w:eastAsia="zh-CN" w:bidi="zh-CN"/>
      </w:rPr>
    </w:lvl>
    <w:lvl w:ilvl="8" w:tentative="0">
      <w:start w:val="0"/>
      <w:numFmt w:val="bullet"/>
      <w:lvlText w:val="•"/>
      <w:lvlJc w:val="left"/>
      <w:pPr>
        <w:ind w:left="8377" w:hanging="527"/>
      </w:pPr>
      <w:rPr>
        <w:rFonts w:hint="default"/>
        <w:lang w:val="zh-CN" w:eastAsia="zh-CN" w:bidi="zh-CN"/>
      </w:rPr>
    </w:lvl>
  </w:abstractNum>
  <w:abstractNum w:abstractNumId="6">
    <w:nsid w:val="F4B5D9F5"/>
    <w:multiLevelType w:val="multilevel"/>
    <w:tmpl w:val="F4B5D9F5"/>
    <w:lvl w:ilvl="0" w:tentative="0">
      <w:start w:val="0"/>
      <w:numFmt w:val="decimal"/>
      <w:lvlText w:val="%1"/>
      <w:lvlJc w:val="left"/>
      <w:pPr>
        <w:ind w:left="529" w:hanging="420"/>
      </w:pPr>
      <w:rPr>
        <w:rFonts w:hint="default" w:ascii="Times New Roman" w:hAnsi="Times New Roman" w:eastAsia="Times New Roman" w:cs="Times New Roman"/>
        <w:w w:val="100"/>
        <w:sz w:val="18"/>
        <w:szCs w:val="18"/>
        <w:lang w:val="zh-CN" w:eastAsia="zh-CN" w:bidi="zh-CN"/>
      </w:rPr>
    </w:lvl>
    <w:lvl w:ilvl="1" w:tentative="0">
      <w:start w:val="0"/>
      <w:numFmt w:val="bullet"/>
      <w:lvlText w:val="•"/>
      <w:lvlJc w:val="left"/>
      <w:pPr>
        <w:ind w:left="659" w:hanging="420"/>
      </w:pPr>
      <w:rPr>
        <w:rFonts w:hint="default"/>
        <w:lang w:val="zh-CN" w:eastAsia="zh-CN" w:bidi="zh-CN"/>
      </w:rPr>
    </w:lvl>
    <w:lvl w:ilvl="2" w:tentative="0">
      <w:start w:val="0"/>
      <w:numFmt w:val="bullet"/>
      <w:lvlText w:val="•"/>
      <w:lvlJc w:val="left"/>
      <w:pPr>
        <w:ind w:left="798" w:hanging="420"/>
      </w:pPr>
      <w:rPr>
        <w:rFonts w:hint="default"/>
        <w:lang w:val="zh-CN" w:eastAsia="zh-CN" w:bidi="zh-CN"/>
      </w:rPr>
    </w:lvl>
    <w:lvl w:ilvl="3" w:tentative="0">
      <w:start w:val="0"/>
      <w:numFmt w:val="bullet"/>
      <w:lvlText w:val="•"/>
      <w:lvlJc w:val="left"/>
      <w:pPr>
        <w:ind w:left="937" w:hanging="420"/>
      </w:pPr>
      <w:rPr>
        <w:rFonts w:hint="default"/>
        <w:lang w:val="zh-CN" w:eastAsia="zh-CN" w:bidi="zh-CN"/>
      </w:rPr>
    </w:lvl>
    <w:lvl w:ilvl="4" w:tentative="0">
      <w:start w:val="0"/>
      <w:numFmt w:val="bullet"/>
      <w:lvlText w:val="•"/>
      <w:lvlJc w:val="left"/>
      <w:pPr>
        <w:ind w:left="1076" w:hanging="420"/>
      </w:pPr>
      <w:rPr>
        <w:rFonts w:hint="default"/>
        <w:lang w:val="zh-CN" w:eastAsia="zh-CN" w:bidi="zh-CN"/>
      </w:rPr>
    </w:lvl>
    <w:lvl w:ilvl="5" w:tentative="0">
      <w:start w:val="0"/>
      <w:numFmt w:val="bullet"/>
      <w:lvlText w:val="•"/>
      <w:lvlJc w:val="left"/>
      <w:pPr>
        <w:ind w:left="1215" w:hanging="420"/>
      </w:pPr>
      <w:rPr>
        <w:rFonts w:hint="default"/>
        <w:lang w:val="zh-CN" w:eastAsia="zh-CN" w:bidi="zh-CN"/>
      </w:rPr>
    </w:lvl>
    <w:lvl w:ilvl="6" w:tentative="0">
      <w:start w:val="0"/>
      <w:numFmt w:val="bullet"/>
      <w:lvlText w:val="•"/>
      <w:lvlJc w:val="left"/>
      <w:pPr>
        <w:ind w:left="1354" w:hanging="420"/>
      </w:pPr>
      <w:rPr>
        <w:rFonts w:hint="default"/>
        <w:lang w:val="zh-CN" w:eastAsia="zh-CN" w:bidi="zh-CN"/>
      </w:rPr>
    </w:lvl>
    <w:lvl w:ilvl="7" w:tentative="0">
      <w:start w:val="0"/>
      <w:numFmt w:val="bullet"/>
      <w:lvlText w:val="•"/>
      <w:lvlJc w:val="left"/>
      <w:pPr>
        <w:ind w:left="1493" w:hanging="420"/>
      </w:pPr>
      <w:rPr>
        <w:rFonts w:hint="default"/>
        <w:lang w:val="zh-CN" w:eastAsia="zh-CN" w:bidi="zh-CN"/>
      </w:rPr>
    </w:lvl>
    <w:lvl w:ilvl="8" w:tentative="0">
      <w:start w:val="0"/>
      <w:numFmt w:val="bullet"/>
      <w:lvlText w:val="•"/>
      <w:lvlJc w:val="left"/>
      <w:pPr>
        <w:ind w:left="1632" w:hanging="420"/>
      </w:pPr>
      <w:rPr>
        <w:rFonts w:hint="default"/>
        <w:lang w:val="zh-CN" w:eastAsia="zh-CN" w:bidi="zh-CN"/>
      </w:rPr>
    </w:lvl>
  </w:abstractNum>
  <w:abstractNum w:abstractNumId="7">
    <w:nsid w:val="0053208E"/>
    <w:multiLevelType w:val="multilevel"/>
    <w:tmpl w:val="0053208E"/>
    <w:lvl w:ilvl="0" w:tentative="0">
      <w:start w:val="1"/>
      <w:numFmt w:val="decimal"/>
      <w:lvlText w:val="%1"/>
      <w:lvlJc w:val="left"/>
      <w:pPr>
        <w:ind w:left="707" w:hanging="212"/>
      </w:pPr>
      <w:rPr>
        <w:rFonts w:hint="default" w:ascii="Times New Roman" w:hAnsi="Times New Roman" w:eastAsia="Times New Roman" w:cs="Times New Roman"/>
        <w:w w:val="100"/>
        <w:sz w:val="21"/>
        <w:szCs w:val="21"/>
        <w:lang w:val="zh-CN" w:eastAsia="zh-CN" w:bidi="zh-CN"/>
      </w:rPr>
    </w:lvl>
    <w:lvl w:ilvl="1" w:tentative="0">
      <w:start w:val="1"/>
      <w:numFmt w:val="decimal"/>
      <w:lvlText w:val="%1.%2"/>
      <w:lvlJc w:val="left"/>
      <w:pPr>
        <w:ind w:left="866" w:hanging="370"/>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1907" w:hanging="370"/>
      </w:pPr>
      <w:rPr>
        <w:rFonts w:hint="default"/>
        <w:lang w:val="zh-CN" w:eastAsia="zh-CN" w:bidi="zh-CN"/>
      </w:rPr>
    </w:lvl>
    <w:lvl w:ilvl="3" w:tentative="0">
      <w:start w:val="0"/>
      <w:numFmt w:val="bullet"/>
      <w:lvlText w:val="•"/>
      <w:lvlJc w:val="left"/>
      <w:pPr>
        <w:ind w:left="2954" w:hanging="370"/>
      </w:pPr>
      <w:rPr>
        <w:rFonts w:hint="default"/>
        <w:lang w:val="zh-CN" w:eastAsia="zh-CN" w:bidi="zh-CN"/>
      </w:rPr>
    </w:lvl>
    <w:lvl w:ilvl="4" w:tentative="0">
      <w:start w:val="0"/>
      <w:numFmt w:val="bullet"/>
      <w:lvlText w:val="•"/>
      <w:lvlJc w:val="left"/>
      <w:pPr>
        <w:ind w:left="4002" w:hanging="370"/>
      </w:pPr>
      <w:rPr>
        <w:rFonts w:hint="default"/>
        <w:lang w:val="zh-CN" w:eastAsia="zh-CN" w:bidi="zh-CN"/>
      </w:rPr>
    </w:lvl>
    <w:lvl w:ilvl="5" w:tentative="0">
      <w:start w:val="0"/>
      <w:numFmt w:val="bullet"/>
      <w:lvlText w:val="•"/>
      <w:lvlJc w:val="left"/>
      <w:pPr>
        <w:ind w:left="5049" w:hanging="370"/>
      </w:pPr>
      <w:rPr>
        <w:rFonts w:hint="default"/>
        <w:lang w:val="zh-CN" w:eastAsia="zh-CN" w:bidi="zh-CN"/>
      </w:rPr>
    </w:lvl>
    <w:lvl w:ilvl="6" w:tentative="0">
      <w:start w:val="0"/>
      <w:numFmt w:val="bullet"/>
      <w:lvlText w:val="•"/>
      <w:lvlJc w:val="left"/>
      <w:pPr>
        <w:ind w:left="6096" w:hanging="370"/>
      </w:pPr>
      <w:rPr>
        <w:rFonts w:hint="default"/>
        <w:lang w:val="zh-CN" w:eastAsia="zh-CN" w:bidi="zh-CN"/>
      </w:rPr>
    </w:lvl>
    <w:lvl w:ilvl="7" w:tentative="0">
      <w:start w:val="0"/>
      <w:numFmt w:val="bullet"/>
      <w:lvlText w:val="•"/>
      <w:lvlJc w:val="left"/>
      <w:pPr>
        <w:ind w:left="7144" w:hanging="370"/>
      </w:pPr>
      <w:rPr>
        <w:rFonts w:hint="default"/>
        <w:lang w:val="zh-CN" w:eastAsia="zh-CN" w:bidi="zh-CN"/>
      </w:rPr>
    </w:lvl>
    <w:lvl w:ilvl="8" w:tentative="0">
      <w:start w:val="0"/>
      <w:numFmt w:val="bullet"/>
      <w:lvlText w:val="•"/>
      <w:lvlJc w:val="left"/>
      <w:pPr>
        <w:ind w:left="8191" w:hanging="370"/>
      </w:pPr>
      <w:rPr>
        <w:rFonts w:hint="default"/>
        <w:lang w:val="zh-CN" w:eastAsia="zh-CN" w:bidi="zh-CN"/>
      </w:rPr>
    </w:lvl>
  </w:abstractNum>
  <w:abstractNum w:abstractNumId="8">
    <w:nsid w:val="0248C179"/>
    <w:multiLevelType w:val="multilevel"/>
    <w:tmpl w:val="0248C179"/>
    <w:lvl w:ilvl="0" w:tentative="0">
      <w:start w:val="1"/>
      <w:numFmt w:val="upperLetter"/>
      <w:lvlText w:val="%1"/>
      <w:lvlJc w:val="left"/>
      <w:pPr>
        <w:ind w:left="1233" w:hanging="737"/>
      </w:pPr>
      <w:rPr>
        <w:rFonts w:hint="default"/>
        <w:lang w:val="zh-CN" w:eastAsia="zh-CN" w:bidi="zh-CN"/>
      </w:rPr>
    </w:lvl>
    <w:lvl w:ilvl="1" w:tentative="0">
      <w:start w:val="4"/>
      <w:numFmt w:val="decimal"/>
      <w:lvlText w:val="%1.%2"/>
      <w:lvlJc w:val="left"/>
      <w:pPr>
        <w:ind w:left="1233" w:hanging="737"/>
      </w:pPr>
      <w:rPr>
        <w:rFonts w:hint="default"/>
        <w:lang w:val="zh-CN" w:eastAsia="zh-CN" w:bidi="zh-CN"/>
      </w:rPr>
    </w:lvl>
    <w:lvl w:ilvl="2" w:tentative="0">
      <w:start w:val="1"/>
      <w:numFmt w:val="decimal"/>
      <w:lvlText w:val="%1.%2.%3"/>
      <w:lvlJc w:val="left"/>
      <w:pPr>
        <w:ind w:left="1233" w:hanging="737"/>
      </w:pPr>
      <w:rPr>
        <w:rFonts w:hint="default" w:ascii="黑体" w:hAnsi="黑体" w:eastAsia="黑体" w:cs="黑体"/>
        <w:w w:val="100"/>
        <w:sz w:val="21"/>
        <w:szCs w:val="21"/>
        <w:lang w:val="zh-CN" w:eastAsia="zh-CN" w:bidi="zh-CN"/>
      </w:rPr>
    </w:lvl>
    <w:lvl w:ilvl="3" w:tentative="0">
      <w:start w:val="1"/>
      <w:numFmt w:val="decimal"/>
      <w:lvlText w:val="%1.%2.%3.%4"/>
      <w:lvlJc w:val="left"/>
      <w:pPr>
        <w:ind w:left="1442" w:hanging="946"/>
      </w:pPr>
      <w:rPr>
        <w:rFonts w:hint="default" w:ascii="黑体" w:hAnsi="黑体" w:eastAsia="黑体" w:cs="黑体"/>
        <w:spacing w:val="-3"/>
        <w:w w:val="100"/>
        <w:sz w:val="21"/>
        <w:szCs w:val="21"/>
        <w:lang w:val="zh-CN" w:eastAsia="zh-CN" w:bidi="zh-CN"/>
      </w:rPr>
    </w:lvl>
    <w:lvl w:ilvl="4" w:tentative="0">
      <w:start w:val="0"/>
      <w:numFmt w:val="bullet"/>
      <w:lvlText w:val="•"/>
      <w:lvlJc w:val="left"/>
      <w:pPr>
        <w:ind w:left="4388" w:hanging="946"/>
      </w:pPr>
      <w:rPr>
        <w:rFonts w:hint="default"/>
        <w:lang w:val="zh-CN" w:eastAsia="zh-CN" w:bidi="zh-CN"/>
      </w:rPr>
    </w:lvl>
    <w:lvl w:ilvl="5" w:tentative="0">
      <w:start w:val="0"/>
      <w:numFmt w:val="bullet"/>
      <w:lvlText w:val="•"/>
      <w:lvlJc w:val="left"/>
      <w:pPr>
        <w:ind w:left="5371" w:hanging="946"/>
      </w:pPr>
      <w:rPr>
        <w:rFonts w:hint="default"/>
        <w:lang w:val="zh-CN" w:eastAsia="zh-CN" w:bidi="zh-CN"/>
      </w:rPr>
    </w:lvl>
    <w:lvl w:ilvl="6" w:tentative="0">
      <w:start w:val="0"/>
      <w:numFmt w:val="bullet"/>
      <w:lvlText w:val="•"/>
      <w:lvlJc w:val="left"/>
      <w:pPr>
        <w:ind w:left="6354" w:hanging="946"/>
      </w:pPr>
      <w:rPr>
        <w:rFonts w:hint="default"/>
        <w:lang w:val="zh-CN" w:eastAsia="zh-CN" w:bidi="zh-CN"/>
      </w:rPr>
    </w:lvl>
    <w:lvl w:ilvl="7" w:tentative="0">
      <w:start w:val="0"/>
      <w:numFmt w:val="bullet"/>
      <w:lvlText w:val="•"/>
      <w:lvlJc w:val="left"/>
      <w:pPr>
        <w:ind w:left="7337" w:hanging="946"/>
      </w:pPr>
      <w:rPr>
        <w:rFonts w:hint="default"/>
        <w:lang w:val="zh-CN" w:eastAsia="zh-CN" w:bidi="zh-CN"/>
      </w:rPr>
    </w:lvl>
    <w:lvl w:ilvl="8" w:tentative="0">
      <w:start w:val="0"/>
      <w:numFmt w:val="bullet"/>
      <w:lvlText w:val="•"/>
      <w:lvlJc w:val="left"/>
      <w:pPr>
        <w:ind w:left="8320" w:hanging="946"/>
      </w:pPr>
      <w:rPr>
        <w:rFonts w:hint="default"/>
        <w:lang w:val="zh-CN" w:eastAsia="zh-CN" w:bidi="zh-CN"/>
      </w:rPr>
    </w:lvl>
  </w:abstractNum>
  <w:abstractNum w:abstractNumId="9">
    <w:nsid w:val="03D62ECE"/>
    <w:multiLevelType w:val="multilevel"/>
    <w:tmpl w:val="03D62ECE"/>
    <w:lvl w:ilvl="0" w:tentative="0">
      <w:start w:val="4"/>
      <w:numFmt w:val="decimal"/>
      <w:lvlText w:val="%1"/>
      <w:lvlJc w:val="left"/>
      <w:pPr>
        <w:ind w:left="582" w:hanging="371"/>
      </w:pPr>
      <w:rPr>
        <w:rFonts w:hint="default"/>
        <w:lang w:val="zh-CN" w:eastAsia="zh-CN" w:bidi="zh-CN"/>
      </w:rPr>
    </w:lvl>
    <w:lvl w:ilvl="1" w:tentative="0">
      <w:start w:val="7"/>
      <w:numFmt w:val="decimal"/>
      <w:lvlText w:val="%1.%2"/>
      <w:lvlJc w:val="left"/>
      <w:pPr>
        <w:ind w:left="582" w:hanging="371"/>
      </w:pPr>
      <w:rPr>
        <w:rFonts w:hint="default" w:ascii="Times New Roman" w:hAnsi="Times New Roman" w:eastAsia="Times New Roman" w:cs="Times New Roman"/>
        <w:w w:val="100"/>
        <w:sz w:val="21"/>
        <w:szCs w:val="21"/>
        <w:lang w:val="zh-CN" w:eastAsia="zh-CN" w:bidi="zh-CN"/>
      </w:rPr>
    </w:lvl>
    <w:lvl w:ilvl="2" w:tentative="0">
      <w:start w:val="1"/>
      <w:numFmt w:val="decimal"/>
      <w:lvlText w:val="%1.%2.%3"/>
      <w:lvlJc w:val="left"/>
      <w:pPr>
        <w:ind w:left="844" w:hanging="632"/>
      </w:pPr>
      <w:rPr>
        <w:rFonts w:hint="default" w:ascii="黑体" w:hAnsi="黑体" w:eastAsia="黑体" w:cs="黑体"/>
        <w:w w:val="100"/>
        <w:sz w:val="21"/>
        <w:szCs w:val="21"/>
        <w:lang w:val="zh-CN" w:eastAsia="zh-CN" w:bidi="zh-CN"/>
      </w:rPr>
    </w:lvl>
    <w:lvl w:ilvl="3" w:tentative="0">
      <w:start w:val="0"/>
      <w:numFmt w:val="bullet"/>
      <w:lvlText w:val="•"/>
      <w:lvlJc w:val="left"/>
      <w:pPr>
        <w:ind w:left="2265" w:hanging="632"/>
      </w:pPr>
      <w:rPr>
        <w:rFonts w:hint="default"/>
        <w:lang w:val="zh-CN" w:eastAsia="zh-CN" w:bidi="zh-CN"/>
      </w:rPr>
    </w:lvl>
    <w:lvl w:ilvl="4" w:tentative="0">
      <w:start w:val="0"/>
      <w:numFmt w:val="bullet"/>
      <w:lvlText w:val="•"/>
      <w:lvlJc w:val="left"/>
      <w:pPr>
        <w:ind w:left="3411" w:hanging="632"/>
      </w:pPr>
      <w:rPr>
        <w:rFonts w:hint="default"/>
        <w:lang w:val="zh-CN" w:eastAsia="zh-CN" w:bidi="zh-CN"/>
      </w:rPr>
    </w:lvl>
    <w:lvl w:ilvl="5" w:tentative="0">
      <w:start w:val="0"/>
      <w:numFmt w:val="bullet"/>
      <w:lvlText w:val="•"/>
      <w:lvlJc w:val="left"/>
      <w:pPr>
        <w:ind w:left="4557" w:hanging="632"/>
      </w:pPr>
      <w:rPr>
        <w:rFonts w:hint="default"/>
        <w:lang w:val="zh-CN" w:eastAsia="zh-CN" w:bidi="zh-CN"/>
      </w:rPr>
    </w:lvl>
    <w:lvl w:ilvl="6" w:tentative="0">
      <w:start w:val="0"/>
      <w:numFmt w:val="bullet"/>
      <w:lvlText w:val="•"/>
      <w:lvlJc w:val="left"/>
      <w:pPr>
        <w:ind w:left="5703" w:hanging="632"/>
      </w:pPr>
      <w:rPr>
        <w:rFonts w:hint="default"/>
        <w:lang w:val="zh-CN" w:eastAsia="zh-CN" w:bidi="zh-CN"/>
      </w:rPr>
    </w:lvl>
    <w:lvl w:ilvl="7" w:tentative="0">
      <w:start w:val="0"/>
      <w:numFmt w:val="bullet"/>
      <w:lvlText w:val="•"/>
      <w:lvlJc w:val="left"/>
      <w:pPr>
        <w:ind w:left="6849" w:hanging="632"/>
      </w:pPr>
      <w:rPr>
        <w:rFonts w:hint="default"/>
        <w:lang w:val="zh-CN" w:eastAsia="zh-CN" w:bidi="zh-CN"/>
      </w:rPr>
    </w:lvl>
    <w:lvl w:ilvl="8" w:tentative="0">
      <w:start w:val="0"/>
      <w:numFmt w:val="bullet"/>
      <w:lvlText w:val="•"/>
      <w:lvlJc w:val="left"/>
      <w:pPr>
        <w:ind w:left="7994" w:hanging="632"/>
      </w:pPr>
      <w:rPr>
        <w:rFonts w:hint="default"/>
        <w:lang w:val="zh-CN" w:eastAsia="zh-CN" w:bidi="zh-CN"/>
      </w:rPr>
    </w:lvl>
  </w:abstractNum>
  <w:abstractNum w:abstractNumId="10">
    <w:nsid w:val="04DE5FDC"/>
    <w:multiLevelType w:val="singleLevel"/>
    <w:tmpl w:val="04DE5FDC"/>
    <w:lvl w:ilvl="0" w:tentative="0">
      <w:start w:val="1"/>
      <w:numFmt w:val="chineseCounting"/>
      <w:suff w:val="nothing"/>
      <w:lvlText w:val="（%1）"/>
      <w:lvlJc w:val="left"/>
      <w:pPr>
        <w:ind w:left="0" w:firstLine="420"/>
      </w:pPr>
      <w:rPr>
        <w:rFonts w:hint="eastAsia"/>
      </w:rPr>
    </w:lvl>
  </w:abstractNum>
  <w:abstractNum w:abstractNumId="11">
    <w:nsid w:val="17845204"/>
    <w:multiLevelType w:val="singleLevel"/>
    <w:tmpl w:val="17845204"/>
    <w:lvl w:ilvl="0" w:tentative="0">
      <w:start w:val="1"/>
      <w:numFmt w:val="chineseCounting"/>
      <w:suff w:val="nothing"/>
      <w:lvlText w:val="（%1）"/>
      <w:lvlJc w:val="left"/>
      <w:pPr>
        <w:ind w:left="0" w:firstLine="420"/>
      </w:pPr>
      <w:rPr>
        <w:rFonts w:hint="eastAsia"/>
      </w:rPr>
    </w:lvl>
  </w:abstractNum>
  <w:abstractNum w:abstractNumId="12">
    <w:nsid w:val="19D532BD"/>
    <w:multiLevelType w:val="multilevel"/>
    <w:tmpl w:val="19D532B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3">
    <w:nsid w:val="2470EC97"/>
    <w:multiLevelType w:val="multilevel"/>
    <w:tmpl w:val="2470EC97"/>
    <w:lvl w:ilvl="0" w:tentative="0">
      <w:start w:val="1"/>
      <w:numFmt w:val="upperLetter"/>
      <w:lvlText w:val="%1"/>
      <w:lvlJc w:val="left"/>
      <w:pPr>
        <w:ind w:left="738" w:hanging="527"/>
      </w:pPr>
      <w:rPr>
        <w:rFonts w:hint="default"/>
        <w:lang w:val="zh-CN" w:eastAsia="zh-CN" w:bidi="zh-CN"/>
      </w:rPr>
    </w:lvl>
    <w:lvl w:ilvl="1" w:tentative="0">
      <w:start w:val="5"/>
      <w:numFmt w:val="decimal"/>
      <w:lvlText w:val="%1.%2"/>
      <w:lvlJc w:val="left"/>
      <w:pPr>
        <w:ind w:left="738" w:hanging="527"/>
      </w:pPr>
      <w:rPr>
        <w:rFonts w:hint="default" w:ascii="黑体" w:hAnsi="黑体" w:eastAsia="黑体" w:cs="黑体"/>
        <w:w w:val="100"/>
        <w:sz w:val="21"/>
        <w:szCs w:val="21"/>
        <w:lang w:val="zh-CN" w:eastAsia="zh-CN" w:bidi="zh-CN"/>
      </w:rPr>
    </w:lvl>
    <w:lvl w:ilvl="2" w:tentative="0">
      <w:start w:val="1"/>
      <w:numFmt w:val="decimal"/>
      <w:lvlText w:val="%1.%2.%3"/>
      <w:lvlJc w:val="left"/>
      <w:pPr>
        <w:ind w:left="950" w:hanging="738"/>
      </w:pPr>
      <w:rPr>
        <w:rFonts w:hint="default" w:ascii="黑体" w:hAnsi="黑体" w:eastAsia="黑体" w:cs="黑体"/>
        <w:w w:val="100"/>
        <w:sz w:val="21"/>
        <w:szCs w:val="21"/>
        <w:lang w:val="zh-CN" w:eastAsia="zh-CN" w:bidi="zh-CN"/>
      </w:rPr>
    </w:lvl>
    <w:lvl w:ilvl="3" w:tentative="0">
      <w:start w:val="1"/>
      <w:numFmt w:val="decimal"/>
      <w:lvlText w:val="%1.%2.%3.%4"/>
      <w:lvlJc w:val="left"/>
      <w:pPr>
        <w:ind w:left="1158" w:hanging="946"/>
      </w:pPr>
      <w:rPr>
        <w:rFonts w:hint="default" w:ascii="黑体" w:hAnsi="黑体" w:eastAsia="黑体" w:cs="黑体"/>
        <w:spacing w:val="-3"/>
        <w:w w:val="100"/>
        <w:sz w:val="21"/>
        <w:szCs w:val="21"/>
        <w:lang w:val="zh-CN" w:eastAsia="zh-CN" w:bidi="zh-CN"/>
      </w:rPr>
    </w:lvl>
    <w:lvl w:ilvl="4" w:tentative="0">
      <w:start w:val="0"/>
      <w:numFmt w:val="bullet"/>
      <w:lvlText w:val="•"/>
      <w:lvlJc w:val="left"/>
      <w:pPr>
        <w:ind w:left="3441" w:hanging="946"/>
      </w:pPr>
      <w:rPr>
        <w:rFonts w:hint="default"/>
        <w:lang w:val="zh-CN" w:eastAsia="zh-CN" w:bidi="zh-CN"/>
      </w:rPr>
    </w:lvl>
    <w:lvl w:ilvl="5" w:tentative="0">
      <w:start w:val="0"/>
      <w:numFmt w:val="bullet"/>
      <w:lvlText w:val="•"/>
      <w:lvlJc w:val="left"/>
      <w:pPr>
        <w:ind w:left="4582" w:hanging="946"/>
      </w:pPr>
      <w:rPr>
        <w:rFonts w:hint="default"/>
        <w:lang w:val="zh-CN" w:eastAsia="zh-CN" w:bidi="zh-CN"/>
      </w:rPr>
    </w:lvl>
    <w:lvl w:ilvl="6" w:tentative="0">
      <w:start w:val="0"/>
      <w:numFmt w:val="bullet"/>
      <w:lvlText w:val="•"/>
      <w:lvlJc w:val="left"/>
      <w:pPr>
        <w:ind w:left="5723" w:hanging="946"/>
      </w:pPr>
      <w:rPr>
        <w:rFonts w:hint="default"/>
        <w:lang w:val="zh-CN" w:eastAsia="zh-CN" w:bidi="zh-CN"/>
      </w:rPr>
    </w:lvl>
    <w:lvl w:ilvl="7" w:tentative="0">
      <w:start w:val="0"/>
      <w:numFmt w:val="bullet"/>
      <w:lvlText w:val="•"/>
      <w:lvlJc w:val="left"/>
      <w:pPr>
        <w:ind w:left="6864" w:hanging="946"/>
      </w:pPr>
      <w:rPr>
        <w:rFonts w:hint="default"/>
        <w:lang w:val="zh-CN" w:eastAsia="zh-CN" w:bidi="zh-CN"/>
      </w:rPr>
    </w:lvl>
    <w:lvl w:ilvl="8" w:tentative="0">
      <w:start w:val="0"/>
      <w:numFmt w:val="bullet"/>
      <w:lvlText w:val="•"/>
      <w:lvlJc w:val="left"/>
      <w:pPr>
        <w:ind w:left="8004" w:hanging="946"/>
      </w:pPr>
      <w:rPr>
        <w:rFonts w:hint="default"/>
        <w:lang w:val="zh-CN" w:eastAsia="zh-CN" w:bidi="zh-CN"/>
      </w:rPr>
    </w:lvl>
  </w:abstractNum>
  <w:abstractNum w:abstractNumId="14">
    <w:nsid w:val="25B654F3"/>
    <w:multiLevelType w:val="multilevel"/>
    <w:tmpl w:val="25B654F3"/>
    <w:lvl w:ilvl="0" w:tentative="0">
      <w:start w:val="1"/>
      <w:numFmt w:val="decimal"/>
      <w:lvlText w:val="%1"/>
      <w:lvlJc w:val="left"/>
      <w:pPr>
        <w:ind w:left="1624" w:hanging="137"/>
      </w:pPr>
      <w:rPr>
        <w:rFonts w:hint="default" w:ascii="Times New Roman" w:hAnsi="Times New Roman" w:eastAsia="Times New Roman" w:cs="Times New Roman"/>
        <w:w w:val="100"/>
        <w:sz w:val="18"/>
        <w:szCs w:val="18"/>
        <w:lang w:val="zh-CN" w:eastAsia="zh-CN" w:bidi="zh-CN"/>
      </w:rPr>
    </w:lvl>
    <w:lvl w:ilvl="1" w:tentative="0">
      <w:start w:val="0"/>
      <w:numFmt w:val="bullet"/>
      <w:lvlText w:val="•"/>
      <w:lvlJc w:val="left"/>
      <w:pPr>
        <w:ind w:left="2486" w:hanging="137"/>
      </w:pPr>
      <w:rPr>
        <w:rFonts w:hint="default"/>
        <w:lang w:val="zh-CN" w:eastAsia="zh-CN" w:bidi="zh-CN"/>
      </w:rPr>
    </w:lvl>
    <w:lvl w:ilvl="2" w:tentative="0">
      <w:start w:val="0"/>
      <w:numFmt w:val="bullet"/>
      <w:lvlText w:val="•"/>
      <w:lvlJc w:val="left"/>
      <w:pPr>
        <w:ind w:left="3353" w:hanging="137"/>
      </w:pPr>
      <w:rPr>
        <w:rFonts w:hint="default"/>
        <w:lang w:val="zh-CN" w:eastAsia="zh-CN" w:bidi="zh-CN"/>
      </w:rPr>
    </w:lvl>
    <w:lvl w:ilvl="3" w:tentative="0">
      <w:start w:val="0"/>
      <w:numFmt w:val="bullet"/>
      <w:lvlText w:val="•"/>
      <w:lvlJc w:val="left"/>
      <w:pPr>
        <w:ind w:left="4219" w:hanging="137"/>
      </w:pPr>
      <w:rPr>
        <w:rFonts w:hint="default"/>
        <w:lang w:val="zh-CN" w:eastAsia="zh-CN" w:bidi="zh-CN"/>
      </w:rPr>
    </w:lvl>
    <w:lvl w:ilvl="4" w:tentative="0">
      <w:start w:val="0"/>
      <w:numFmt w:val="bullet"/>
      <w:lvlText w:val="•"/>
      <w:lvlJc w:val="left"/>
      <w:pPr>
        <w:ind w:left="5086" w:hanging="137"/>
      </w:pPr>
      <w:rPr>
        <w:rFonts w:hint="default"/>
        <w:lang w:val="zh-CN" w:eastAsia="zh-CN" w:bidi="zh-CN"/>
      </w:rPr>
    </w:lvl>
    <w:lvl w:ilvl="5" w:tentative="0">
      <w:start w:val="0"/>
      <w:numFmt w:val="bullet"/>
      <w:lvlText w:val="•"/>
      <w:lvlJc w:val="left"/>
      <w:pPr>
        <w:ind w:left="5953" w:hanging="137"/>
      </w:pPr>
      <w:rPr>
        <w:rFonts w:hint="default"/>
        <w:lang w:val="zh-CN" w:eastAsia="zh-CN" w:bidi="zh-CN"/>
      </w:rPr>
    </w:lvl>
    <w:lvl w:ilvl="6" w:tentative="0">
      <w:start w:val="0"/>
      <w:numFmt w:val="bullet"/>
      <w:lvlText w:val="•"/>
      <w:lvlJc w:val="left"/>
      <w:pPr>
        <w:ind w:left="6819" w:hanging="137"/>
      </w:pPr>
      <w:rPr>
        <w:rFonts w:hint="default"/>
        <w:lang w:val="zh-CN" w:eastAsia="zh-CN" w:bidi="zh-CN"/>
      </w:rPr>
    </w:lvl>
    <w:lvl w:ilvl="7" w:tentative="0">
      <w:start w:val="0"/>
      <w:numFmt w:val="bullet"/>
      <w:lvlText w:val="•"/>
      <w:lvlJc w:val="left"/>
      <w:pPr>
        <w:ind w:left="7686" w:hanging="137"/>
      </w:pPr>
      <w:rPr>
        <w:rFonts w:hint="default"/>
        <w:lang w:val="zh-CN" w:eastAsia="zh-CN" w:bidi="zh-CN"/>
      </w:rPr>
    </w:lvl>
    <w:lvl w:ilvl="8" w:tentative="0">
      <w:start w:val="0"/>
      <w:numFmt w:val="bullet"/>
      <w:lvlText w:val="•"/>
      <w:lvlJc w:val="left"/>
      <w:pPr>
        <w:ind w:left="8553" w:hanging="137"/>
      </w:pPr>
      <w:rPr>
        <w:rFonts w:hint="default"/>
        <w:lang w:val="zh-CN" w:eastAsia="zh-CN" w:bidi="zh-CN"/>
      </w:rPr>
    </w:lvl>
  </w:abstractNum>
  <w:abstractNum w:abstractNumId="15">
    <w:nsid w:val="2A8F537B"/>
    <w:multiLevelType w:val="multilevel"/>
    <w:tmpl w:val="2A8F537B"/>
    <w:lvl w:ilvl="0" w:tentative="0">
      <w:start w:val="1"/>
      <w:numFmt w:val="decimal"/>
      <w:lvlText w:val="%1"/>
      <w:lvlJc w:val="left"/>
      <w:pPr>
        <w:ind w:left="384" w:hanging="274"/>
      </w:pPr>
      <w:rPr>
        <w:rFonts w:hint="default" w:ascii="Times New Roman" w:hAnsi="Times New Roman" w:eastAsia="Times New Roman" w:cs="Times New Roman"/>
        <w:w w:val="100"/>
        <w:sz w:val="18"/>
        <w:szCs w:val="18"/>
        <w:lang w:val="zh-CN" w:eastAsia="zh-CN" w:bidi="zh-CN"/>
      </w:rPr>
    </w:lvl>
    <w:lvl w:ilvl="1" w:tentative="0">
      <w:start w:val="0"/>
      <w:numFmt w:val="bullet"/>
      <w:lvlText w:val="•"/>
      <w:lvlJc w:val="left"/>
      <w:pPr>
        <w:ind w:left="867" w:hanging="274"/>
      </w:pPr>
      <w:rPr>
        <w:rFonts w:hint="default"/>
        <w:lang w:val="zh-CN" w:eastAsia="zh-CN" w:bidi="zh-CN"/>
      </w:rPr>
    </w:lvl>
    <w:lvl w:ilvl="2" w:tentative="0">
      <w:start w:val="0"/>
      <w:numFmt w:val="bullet"/>
      <w:lvlText w:val="•"/>
      <w:lvlJc w:val="left"/>
      <w:pPr>
        <w:ind w:left="1354" w:hanging="274"/>
      </w:pPr>
      <w:rPr>
        <w:rFonts w:hint="default"/>
        <w:lang w:val="zh-CN" w:eastAsia="zh-CN" w:bidi="zh-CN"/>
      </w:rPr>
    </w:lvl>
    <w:lvl w:ilvl="3" w:tentative="0">
      <w:start w:val="0"/>
      <w:numFmt w:val="bullet"/>
      <w:lvlText w:val="•"/>
      <w:lvlJc w:val="left"/>
      <w:pPr>
        <w:ind w:left="1841" w:hanging="274"/>
      </w:pPr>
      <w:rPr>
        <w:rFonts w:hint="default"/>
        <w:lang w:val="zh-CN" w:eastAsia="zh-CN" w:bidi="zh-CN"/>
      </w:rPr>
    </w:lvl>
    <w:lvl w:ilvl="4" w:tentative="0">
      <w:start w:val="0"/>
      <w:numFmt w:val="bullet"/>
      <w:lvlText w:val="•"/>
      <w:lvlJc w:val="left"/>
      <w:pPr>
        <w:ind w:left="2328" w:hanging="274"/>
      </w:pPr>
      <w:rPr>
        <w:rFonts w:hint="default"/>
        <w:lang w:val="zh-CN" w:eastAsia="zh-CN" w:bidi="zh-CN"/>
      </w:rPr>
    </w:lvl>
    <w:lvl w:ilvl="5" w:tentative="0">
      <w:start w:val="0"/>
      <w:numFmt w:val="bullet"/>
      <w:lvlText w:val="•"/>
      <w:lvlJc w:val="left"/>
      <w:pPr>
        <w:ind w:left="2815" w:hanging="274"/>
      </w:pPr>
      <w:rPr>
        <w:rFonts w:hint="default"/>
        <w:lang w:val="zh-CN" w:eastAsia="zh-CN" w:bidi="zh-CN"/>
      </w:rPr>
    </w:lvl>
    <w:lvl w:ilvl="6" w:tentative="0">
      <w:start w:val="0"/>
      <w:numFmt w:val="bullet"/>
      <w:lvlText w:val="•"/>
      <w:lvlJc w:val="left"/>
      <w:pPr>
        <w:ind w:left="3302" w:hanging="274"/>
      </w:pPr>
      <w:rPr>
        <w:rFonts w:hint="default"/>
        <w:lang w:val="zh-CN" w:eastAsia="zh-CN" w:bidi="zh-CN"/>
      </w:rPr>
    </w:lvl>
    <w:lvl w:ilvl="7" w:tentative="0">
      <w:start w:val="0"/>
      <w:numFmt w:val="bullet"/>
      <w:lvlText w:val="•"/>
      <w:lvlJc w:val="left"/>
      <w:pPr>
        <w:ind w:left="3789" w:hanging="274"/>
      </w:pPr>
      <w:rPr>
        <w:rFonts w:hint="default"/>
        <w:lang w:val="zh-CN" w:eastAsia="zh-CN" w:bidi="zh-CN"/>
      </w:rPr>
    </w:lvl>
    <w:lvl w:ilvl="8" w:tentative="0">
      <w:start w:val="0"/>
      <w:numFmt w:val="bullet"/>
      <w:lvlText w:val="•"/>
      <w:lvlJc w:val="left"/>
      <w:pPr>
        <w:ind w:left="4276" w:hanging="274"/>
      </w:pPr>
      <w:rPr>
        <w:rFonts w:hint="default"/>
        <w:lang w:val="zh-CN" w:eastAsia="zh-CN" w:bidi="zh-CN"/>
      </w:rPr>
    </w:lvl>
  </w:abstractNum>
  <w:abstractNum w:abstractNumId="16">
    <w:nsid w:val="30CB0D92"/>
    <w:multiLevelType w:val="multilevel"/>
    <w:tmpl w:val="30CB0D92"/>
    <w:lvl w:ilvl="0" w:tentative="0">
      <w:start w:val="1"/>
      <w:numFmt w:val="chineseCountingThousand"/>
      <w:pStyle w:val="3"/>
      <w:lvlText w:val="第%1条"/>
      <w:lvlJc w:val="left"/>
      <w:pPr>
        <w:ind w:left="420" w:hanging="420"/>
      </w:pPr>
      <w:rPr>
        <w:rFonts w:hint="eastAsia"/>
        <w:b/>
        <w:color w:val="auto"/>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0E14153"/>
    <w:multiLevelType w:val="multilevel"/>
    <w:tmpl w:val="40E14153"/>
    <w:lvl w:ilvl="0" w:tentative="0">
      <w:start w:val="1"/>
      <w:numFmt w:val="chineseCountingThousand"/>
      <w:pStyle w:val="5"/>
      <w:lvlText w:val="（%1）"/>
      <w:lvlJc w:val="left"/>
      <w:pPr>
        <w:ind w:left="420" w:hanging="420"/>
      </w:pPr>
      <w:rPr>
        <w:rFonts w:cs="Times New Roman"/>
        <w:b w:val="0"/>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0F751FA"/>
    <w:multiLevelType w:val="singleLevel"/>
    <w:tmpl w:val="50F751FA"/>
    <w:lvl w:ilvl="0" w:tentative="0">
      <w:start w:val="1"/>
      <w:numFmt w:val="chineseCounting"/>
      <w:suff w:val="nothing"/>
      <w:lvlText w:val="（%1）"/>
      <w:lvlJc w:val="left"/>
      <w:pPr>
        <w:ind w:left="0" w:firstLine="420"/>
      </w:pPr>
      <w:rPr>
        <w:rFonts w:hint="eastAsia"/>
      </w:rPr>
    </w:lvl>
  </w:abstractNum>
  <w:abstractNum w:abstractNumId="19">
    <w:nsid w:val="71341EAD"/>
    <w:multiLevelType w:val="multilevel"/>
    <w:tmpl w:val="71341EAD"/>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901675E"/>
    <w:multiLevelType w:val="multilevel"/>
    <w:tmpl w:val="7901675E"/>
    <w:lvl w:ilvl="0" w:tentative="0">
      <w:start w:val="1"/>
      <w:numFmt w:val="chineseCountingThousand"/>
      <w:pStyle w:val="2"/>
      <w:lvlText w:val="第%1部分"/>
      <w:lvlJc w:val="left"/>
      <w:pPr>
        <w:ind w:left="420" w:hanging="420"/>
      </w:pPr>
      <w:rPr>
        <w:rFonts w:cs="Times New Roman"/>
        <w:b/>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9FE58BB"/>
    <w:multiLevelType w:val="singleLevel"/>
    <w:tmpl w:val="79FE58BB"/>
    <w:lvl w:ilvl="0" w:tentative="0">
      <w:start w:val="1"/>
      <w:numFmt w:val="chineseCounting"/>
      <w:suff w:val="nothing"/>
      <w:lvlText w:val="（%1）"/>
      <w:lvlJc w:val="left"/>
      <w:pPr>
        <w:ind w:left="0" w:firstLine="420"/>
      </w:pPr>
      <w:rPr>
        <w:rFonts w:hint="eastAsia"/>
      </w:rPr>
    </w:lvl>
  </w:abstractNum>
  <w:num w:numId="1">
    <w:abstractNumId w:val="20"/>
  </w:num>
  <w:num w:numId="2">
    <w:abstractNumId w:val="16"/>
  </w:num>
  <w:num w:numId="3">
    <w:abstractNumId w:val="19"/>
  </w:num>
  <w:num w:numId="4">
    <w:abstractNumId w:val="17"/>
  </w:num>
  <w:num w:numId="5">
    <w:abstractNumId w:val="11"/>
  </w:num>
  <w:num w:numId="6">
    <w:abstractNumId w:val="18"/>
  </w:num>
  <w:num w:numId="7">
    <w:abstractNumId w:val="10"/>
  </w:num>
  <w:num w:numId="8">
    <w:abstractNumId w:val="21"/>
  </w:num>
  <w:num w:numId="9">
    <w:abstractNumId w:val="7"/>
  </w:num>
  <w:num w:numId="10">
    <w:abstractNumId w:val="4"/>
  </w:num>
  <w:num w:numId="11">
    <w:abstractNumId w:val="12"/>
  </w:num>
  <w:num w:numId="12">
    <w:abstractNumId w:val="2"/>
  </w:num>
  <w:num w:numId="13">
    <w:abstractNumId w:val="1"/>
  </w:num>
  <w:num w:numId="14">
    <w:abstractNumId w:val="9"/>
  </w:num>
  <w:num w:numId="15">
    <w:abstractNumId w:val="14"/>
  </w:num>
  <w:num w:numId="16">
    <w:abstractNumId w:val="8"/>
  </w:num>
  <w:num w:numId="17">
    <w:abstractNumId w:val="0"/>
  </w:num>
  <w:num w:numId="18">
    <w:abstractNumId w:val="15"/>
  </w:num>
  <w:num w:numId="19">
    <w:abstractNumId w:val="3"/>
  </w:num>
  <w:num w:numId="20">
    <w:abstractNumId w:val="6"/>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7722"/>
    <w:rsid w:val="00146B23"/>
    <w:rsid w:val="00146D8A"/>
    <w:rsid w:val="002C6FF1"/>
    <w:rsid w:val="00306E67"/>
    <w:rsid w:val="00344C7D"/>
    <w:rsid w:val="003852D6"/>
    <w:rsid w:val="003D0DE5"/>
    <w:rsid w:val="006B4EF5"/>
    <w:rsid w:val="00737E8F"/>
    <w:rsid w:val="0087701F"/>
    <w:rsid w:val="0089658B"/>
    <w:rsid w:val="008C642A"/>
    <w:rsid w:val="008C6AC9"/>
    <w:rsid w:val="009755BE"/>
    <w:rsid w:val="00995219"/>
    <w:rsid w:val="00A7024F"/>
    <w:rsid w:val="00AA29CA"/>
    <w:rsid w:val="00AA512E"/>
    <w:rsid w:val="00AF5CA5"/>
    <w:rsid w:val="00BB77BF"/>
    <w:rsid w:val="00C066E0"/>
    <w:rsid w:val="00C23C3E"/>
    <w:rsid w:val="00C75B66"/>
    <w:rsid w:val="00CB5129"/>
    <w:rsid w:val="00D22EB4"/>
    <w:rsid w:val="00D679D7"/>
    <w:rsid w:val="00D72EA9"/>
    <w:rsid w:val="00D813B0"/>
    <w:rsid w:val="00E16F22"/>
    <w:rsid w:val="00E86571"/>
    <w:rsid w:val="00F10D2B"/>
    <w:rsid w:val="00F64860"/>
    <w:rsid w:val="00F7495A"/>
    <w:rsid w:val="00F8431C"/>
    <w:rsid w:val="00F92C01"/>
    <w:rsid w:val="00FB645B"/>
    <w:rsid w:val="01BD5DCB"/>
    <w:rsid w:val="08A86D4C"/>
    <w:rsid w:val="0B2E2638"/>
    <w:rsid w:val="0BBA5A9C"/>
    <w:rsid w:val="0CF56286"/>
    <w:rsid w:val="0E932392"/>
    <w:rsid w:val="0EAC55F3"/>
    <w:rsid w:val="12E910F0"/>
    <w:rsid w:val="143F6135"/>
    <w:rsid w:val="150717E9"/>
    <w:rsid w:val="18DC5216"/>
    <w:rsid w:val="19500434"/>
    <w:rsid w:val="19511A37"/>
    <w:rsid w:val="19DA11B8"/>
    <w:rsid w:val="1CD326D4"/>
    <w:rsid w:val="1CF71B06"/>
    <w:rsid w:val="1D1A72CC"/>
    <w:rsid w:val="1D661687"/>
    <w:rsid w:val="1DF90C6F"/>
    <w:rsid w:val="1F7D7A36"/>
    <w:rsid w:val="1FF0062C"/>
    <w:rsid w:val="23113EC0"/>
    <w:rsid w:val="24290594"/>
    <w:rsid w:val="24596ECD"/>
    <w:rsid w:val="248E3A32"/>
    <w:rsid w:val="249E79E4"/>
    <w:rsid w:val="25346451"/>
    <w:rsid w:val="27C03361"/>
    <w:rsid w:val="29C138EC"/>
    <w:rsid w:val="2B161696"/>
    <w:rsid w:val="2BDA702A"/>
    <w:rsid w:val="2C393200"/>
    <w:rsid w:val="2CEB1E20"/>
    <w:rsid w:val="2DA264B5"/>
    <w:rsid w:val="2E3021E2"/>
    <w:rsid w:val="2E4B356C"/>
    <w:rsid w:val="2FB65238"/>
    <w:rsid w:val="303B047C"/>
    <w:rsid w:val="31340966"/>
    <w:rsid w:val="31C419ED"/>
    <w:rsid w:val="338001D1"/>
    <w:rsid w:val="33E86195"/>
    <w:rsid w:val="36EE3263"/>
    <w:rsid w:val="37743A39"/>
    <w:rsid w:val="385C7AA4"/>
    <w:rsid w:val="3BEC7831"/>
    <w:rsid w:val="3C716C78"/>
    <w:rsid w:val="3CD037D0"/>
    <w:rsid w:val="3E9E315F"/>
    <w:rsid w:val="41F66674"/>
    <w:rsid w:val="438471D4"/>
    <w:rsid w:val="45E272D7"/>
    <w:rsid w:val="46EB0CDE"/>
    <w:rsid w:val="48783474"/>
    <w:rsid w:val="495550F1"/>
    <w:rsid w:val="49F84385"/>
    <w:rsid w:val="4B6B719C"/>
    <w:rsid w:val="4BD33937"/>
    <w:rsid w:val="4C1E4244"/>
    <w:rsid w:val="4D0E03FE"/>
    <w:rsid w:val="4D782B00"/>
    <w:rsid w:val="4DF15B22"/>
    <w:rsid w:val="4F57431A"/>
    <w:rsid w:val="50D61535"/>
    <w:rsid w:val="511A6370"/>
    <w:rsid w:val="52E828D1"/>
    <w:rsid w:val="54A038B5"/>
    <w:rsid w:val="54F63375"/>
    <w:rsid w:val="57A604D8"/>
    <w:rsid w:val="57DB5073"/>
    <w:rsid w:val="5846381C"/>
    <w:rsid w:val="5A2F68D8"/>
    <w:rsid w:val="5AFD725E"/>
    <w:rsid w:val="5F876F9A"/>
    <w:rsid w:val="62826853"/>
    <w:rsid w:val="62C56B31"/>
    <w:rsid w:val="640F732A"/>
    <w:rsid w:val="648C3CCE"/>
    <w:rsid w:val="6E9F417D"/>
    <w:rsid w:val="6FBA2E8D"/>
    <w:rsid w:val="713B43D1"/>
    <w:rsid w:val="76993A80"/>
    <w:rsid w:val="78276781"/>
    <w:rsid w:val="7ACC2B3A"/>
    <w:rsid w:val="7C917EE8"/>
    <w:rsid w:val="7D226BA2"/>
    <w:rsid w:val="7E101E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numPr>
        <w:ilvl w:val="0"/>
        <w:numId w:val="1"/>
      </w:numPr>
      <w:spacing w:before="20" w:after="20"/>
      <w:jc w:val="center"/>
      <w:outlineLvl w:val="0"/>
    </w:pPr>
    <w:rPr>
      <w:b/>
      <w:bCs/>
      <w:kern w:val="44"/>
      <w:szCs w:val="44"/>
    </w:rPr>
  </w:style>
  <w:style w:type="paragraph" w:styleId="3">
    <w:name w:val="heading 2"/>
    <w:basedOn w:val="1"/>
    <w:next w:val="1"/>
    <w:qFormat/>
    <w:uiPriority w:val="9"/>
    <w:pPr>
      <w:numPr>
        <w:ilvl w:val="0"/>
        <w:numId w:val="2"/>
      </w:numPr>
      <w:ind w:firstLine="0" w:firstLineChars="0"/>
      <w:jc w:val="left"/>
      <w:outlineLvl w:val="1"/>
    </w:pPr>
    <w:rPr>
      <w:rFonts w:ascii="宋体" w:hAnsi="宋体" w:cs="宋体"/>
      <w:b/>
      <w:bCs/>
      <w:szCs w:val="21"/>
    </w:rPr>
  </w:style>
  <w:style w:type="paragraph" w:styleId="4">
    <w:name w:val="heading 3"/>
    <w:basedOn w:val="1"/>
    <w:next w:val="1"/>
    <w:qFormat/>
    <w:uiPriority w:val="9"/>
    <w:pPr>
      <w:numPr>
        <w:ilvl w:val="0"/>
        <w:numId w:val="3"/>
      </w:numPr>
      <w:ind w:firstLine="0" w:firstLineChars="0"/>
      <w:jc w:val="left"/>
      <w:outlineLvl w:val="2"/>
    </w:pPr>
    <w:rPr>
      <w:b/>
      <w:bCs/>
      <w:szCs w:val="32"/>
    </w:rPr>
  </w:style>
  <w:style w:type="paragraph" w:styleId="5">
    <w:name w:val="heading 4"/>
    <w:basedOn w:val="1"/>
    <w:next w:val="1"/>
    <w:qFormat/>
    <w:uiPriority w:val="9"/>
    <w:pPr>
      <w:numPr>
        <w:ilvl w:val="0"/>
        <w:numId w:val="4"/>
      </w:numPr>
      <w:tabs>
        <w:tab w:val="left" w:pos="0"/>
        <w:tab w:val="left" w:pos="240"/>
        <w:tab w:val="left" w:pos="420"/>
        <w:tab w:val="left" w:pos="480"/>
        <w:tab w:val="left" w:pos="840"/>
      </w:tabs>
      <w:ind w:firstLine="0" w:firstLineChars="0"/>
      <w:outlineLvl w:val="3"/>
    </w:pPr>
    <w:rPr>
      <w:rFonts w:ascii="Calibri Light" w:hAnsi="Calibri Light"/>
      <w:b/>
      <w:bCs/>
      <w:szCs w:val="28"/>
    </w:rPr>
  </w:style>
  <w:style w:type="character" w:default="1" w:styleId="15">
    <w:name w:val="Default Paragraph Font"/>
    <w:unhideWhenUsed/>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6">
    <w:name w:val="Document Map"/>
    <w:basedOn w:val="1"/>
    <w:link w:val="29"/>
    <w:unhideWhenUsed/>
    <w:qFormat/>
    <w:uiPriority w:val="99"/>
    <w:rPr>
      <w:rFonts w:ascii="宋体"/>
      <w:sz w:val="24"/>
    </w:rPr>
  </w:style>
  <w:style w:type="paragraph" w:styleId="7">
    <w:name w:val="annotation text"/>
    <w:basedOn w:val="1"/>
    <w:link w:val="26"/>
    <w:unhideWhenUsed/>
    <w:qFormat/>
    <w:uiPriority w:val="99"/>
    <w:pPr>
      <w:jc w:val="left"/>
    </w:pPr>
  </w:style>
  <w:style w:type="paragraph" w:styleId="8">
    <w:name w:val="Body Text"/>
    <w:basedOn w:val="1"/>
    <w:link w:val="25"/>
    <w:qFormat/>
    <w:uiPriority w:val="1"/>
    <w:pPr>
      <w:autoSpaceDE w:val="0"/>
      <w:autoSpaceDN w:val="0"/>
      <w:jc w:val="left"/>
    </w:pPr>
    <w:rPr>
      <w:rFonts w:ascii="宋体" w:hAnsi="宋体" w:cs="宋体"/>
      <w:kern w:val="0"/>
      <w:szCs w:val="21"/>
      <w:lang w:val="zh-CN" w:bidi="zh-CN"/>
    </w:rPr>
  </w:style>
  <w:style w:type="paragraph" w:styleId="9">
    <w:name w:val="Balloon Text"/>
    <w:basedOn w:val="1"/>
    <w:link w:val="27"/>
    <w:unhideWhenUsed/>
    <w:qFormat/>
    <w:uiPriority w:val="99"/>
    <w:rPr>
      <w:sz w:val="16"/>
      <w:szCs w:val="16"/>
    </w:rPr>
  </w:style>
  <w:style w:type="paragraph" w:styleId="10">
    <w:name w:val="footer"/>
    <w:basedOn w:val="1"/>
    <w:link w:val="28"/>
    <w:unhideWhenUsed/>
    <w:qFormat/>
    <w:uiPriority w:val="0"/>
    <w:pPr>
      <w:tabs>
        <w:tab w:val="center" w:pos="4153"/>
        <w:tab w:val="right" w:pos="8306"/>
      </w:tabs>
      <w:jc w:val="left"/>
    </w:pPr>
    <w:rPr>
      <w:sz w:val="18"/>
      <w:szCs w:val="18"/>
    </w:rPr>
  </w:style>
  <w:style w:type="paragraph" w:styleId="11">
    <w:name w:val="header"/>
    <w:basedOn w:val="1"/>
    <w:next w:val="1"/>
    <w:link w:val="31"/>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1"/>
    <w:pPr>
      <w:autoSpaceDE w:val="0"/>
      <w:autoSpaceDN w:val="0"/>
      <w:spacing w:before="122"/>
      <w:ind w:left="866" w:hanging="370"/>
      <w:jc w:val="left"/>
    </w:pPr>
    <w:rPr>
      <w:rFonts w:ascii="宋体" w:hAnsi="宋体" w:cs="宋体"/>
      <w:kern w:val="0"/>
      <w:szCs w:val="21"/>
      <w:lang w:val="zh-CN" w:bidi="zh-CN"/>
    </w:rPr>
  </w:style>
  <w:style w:type="paragraph" w:styleId="13">
    <w:name w:val="annotation subject"/>
    <w:basedOn w:val="7"/>
    <w:next w:val="7"/>
    <w:link w:val="32"/>
    <w:unhideWhenUsed/>
    <w:qFormat/>
    <w:uiPriority w:val="99"/>
    <w:rPr>
      <w:b/>
      <w:bCs/>
    </w:rPr>
  </w:style>
  <w:style w:type="character" w:styleId="16">
    <w:name w:val="Strong"/>
    <w:qFormat/>
    <w:uiPriority w:val="22"/>
    <w:rPr>
      <w:b/>
      <w:bCs/>
    </w:rPr>
  </w:style>
  <w:style w:type="character" w:styleId="17">
    <w:name w:val="annotation reference"/>
    <w:unhideWhenUsed/>
    <w:qFormat/>
    <w:uiPriority w:val="99"/>
    <w:rPr>
      <w:sz w:val="21"/>
      <w:szCs w:val="21"/>
    </w:rPr>
  </w:style>
  <w:style w:type="paragraph" w:customStyle="1" w:styleId="18">
    <w:name w:val="正文文本 211"/>
    <w:basedOn w:val="1"/>
    <w:qFormat/>
    <w:uiPriority w:val="0"/>
    <w:pPr>
      <w:adjustRightInd w:val="0"/>
      <w:ind w:firstLine="552"/>
      <w:jc w:val="left"/>
      <w:textAlignment w:val="baseline"/>
    </w:pPr>
    <w:rPr>
      <w:rFonts w:ascii="宋体"/>
      <w:kern w:val="0"/>
      <w:sz w:val="28"/>
      <w:szCs w:val="20"/>
    </w:rPr>
  </w:style>
  <w:style w:type="paragraph" w:customStyle="1" w:styleId="19">
    <w:name w:val="_Style 15"/>
    <w:basedOn w:val="1"/>
    <w:qFormat/>
    <w:uiPriority w:val="34"/>
    <w:pPr>
      <w:ind w:firstLine="420" w:firstLineChars="200"/>
    </w:pPr>
    <w:rPr>
      <w:rFonts w:ascii="Calibri" w:hAnsi="Calibri"/>
      <w:szCs w:val="22"/>
    </w:rPr>
  </w:style>
  <w:style w:type="paragraph" w:customStyle="1" w:styleId="20">
    <w:name w:val="列出段落1"/>
    <w:basedOn w:val="1"/>
    <w:qFormat/>
    <w:uiPriority w:val="0"/>
    <w:pPr>
      <w:adjustRightInd/>
      <w:snapToGrid/>
      <w:spacing w:after="200"/>
      <w:ind w:firstLine="420"/>
    </w:pPr>
  </w:style>
  <w:style w:type="paragraph" w:customStyle="1" w:styleId="21">
    <w:name w:val="列出段落111"/>
    <w:basedOn w:val="1"/>
    <w:qFormat/>
    <w:uiPriority w:val="34"/>
    <w:pPr>
      <w:autoSpaceDE w:val="0"/>
      <w:autoSpaceDN w:val="0"/>
      <w:ind w:firstLine="420" w:firstLineChars="200"/>
      <w:jc w:val="left"/>
    </w:pPr>
    <w:rPr>
      <w:rFonts w:ascii="宋体" w:hAnsi="宋体" w:cs="宋体"/>
      <w:kern w:val="0"/>
      <w:sz w:val="22"/>
      <w:szCs w:val="22"/>
      <w:lang w:val="zh-CN" w:bidi="zh-CN"/>
    </w:rPr>
  </w:style>
  <w:style w:type="paragraph" w:customStyle="1" w:styleId="22">
    <w:name w:val="_Style 67"/>
    <w:qFormat/>
    <w:uiPriority w:val="1"/>
    <w:rPr>
      <w:rFonts w:ascii="Times New Roman" w:hAnsi="Times New Roman" w:eastAsia="宋体" w:cs="Times New Roman"/>
      <w:sz w:val="22"/>
      <w:szCs w:val="22"/>
      <w:lang w:val="en-US" w:eastAsia="zh-CN" w:bidi="ar-SA"/>
    </w:rPr>
  </w:style>
  <w:style w:type="paragraph" w:customStyle="1" w:styleId="23">
    <w:name w:val="List Paragraph2"/>
    <w:basedOn w:val="1"/>
    <w:qFormat/>
    <w:uiPriority w:val="99"/>
    <w:pPr>
      <w:ind w:firstLine="420"/>
    </w:pPr>
  </w:style>
  <w:style w:type="paragraph" w:customStyle="1" w:styleId="24">
    <w:name w:val="Table Paragraph"/>
    <w:basedOn w:val="1"/>
    <w:qFormat/>
    <w:uiPriority w:val="1"/>
    <w:pPr>
      <w:autoSpaceDE w:val="0"/>
      <w:autoSpaceDN w:val="0"/>
      <w:spacing w:before="11"/>
      <w:ind w:left="107"/>
      <w:jc w:val="left"/>
    </w:pPr>
    <w:rPr>
      <w:rFonts w:ascii="宋体" w:hAnsi="宋体" w:cs="宋体"/>
      <w:kern w:val="0"/>
      <w:sz w:val="22"/>
      <w:szCs w:val="22"/>
      <w:lang w:val="zh-CN" w:bidi="zh-CN"/>
    </w:rPr>
  </w:style>
  <w:style w:type="character" w:customStyle="1" w:styleId="25">
    <w:name w:val="正文文本 字符"/>
    <w:link w:val="8"/>
    <w:qFormat/>
    <w:uiPriority w:val="1"/>
    <w:rPr>
      <w:rFonts w:ascii="宋体" w:hAnsi="宋体" w:cs="宋体"/>
      <w:sz w:val="21"/>
      <w:szCs w:val="21"/>
      <w:lang w:val="zh-CN" w:bidi="zh-CN"/>
    </w:rPr>
  </w:style>
  <w:style w:type="character" w:customStyle="1" w:styleId="26">
    <w:name w:val="批注文字 字符"/>
    <w:link w:val="7"/>
    <w:semiHidden/>
    <w:qFormat/>
    <w:uiPriority w:val="99"/>
    <w:rPr>
      <w:kern w:val="2"/>
      <w:sz w:val="21"/>
      <w:szCs w:val="24"/>
    </w:rPr>
  </w:style>
  <w:style w:type="character" w:customStyle="1" w:styleId="27">
    <w:name w:val="批注框文本 字符"/>
    <w:link w:val="9"/>
    <w:semiHidden/>
    <w:qFormat/>
    <w:uiPriority w:val="99"/>
    <w:rPr>
      <w:kern w:val="2"/>
      <w:sz w:val="16"/>
      <w:szCs w:val="16"/>
    </w:rPr>
  </w:style>
  <w:style w:type="character" w:customStyle="1" w:styleId="28">
    <w:name w:val="页脚 字符"/>
    <w:link w:val="10"/>
    <w:qFormat/>
    <w:uiPriority w:val="0"/>
    <w:rPr>
      <w:kern w:val="2"/>
      <w:sz w:val="18"/>
      <w:szCs w:val="18"/>
    </w:rPr>
  </w:style>
  <w:style w:type="character" w:customStyle="1" w:styleId="29">
    <w:name w:val="文档结构图 字符"/>
    <w:link w:val="6"/>
    <w:qFormat/>
    <w:uiPriority w:val="99"/>
    <w:rPr>
      <w:rFonts w:ascii="宋体"/>
      <w:kern w:val="2"/>
      <w:sz w:val="24"/>
      <w:szCs w:val="24"/>
    </w:rPr>
  </w:style>
  <w:style w:type="character" w:customStyle="1" w:styleId="30">
    <w:name w:val="apple-converted-space"/>
    <w:qFormat/>
    <w:uiPriority w:val="0"/>
  </w:style>
  <w:style w:type="character" w:customStyle="1" w:styleId="31">
    <w:name w:val="页眉 字符"/>
    <w:link w:val="11"/>
    <w:qFormat/>
    <w:uiPriority w:val="0"/>
    <w:rPr>
      <w:kern w:val="2"/>
      <w:sz w:val="18"/>
      <w:szCs w:val="18"/>
    </w:rPr>
  </w:style>
  <w:style w:type="character" w:customStyle="1" w:styleId="32">
    <w:name w:val="批注主题 字符"/>
    <w:link w:val="13"/>
    <w:qFormat/>
    <w:uiPriority w:val="99"/>
    <w:rPr>
      <w:b/>
      <w:bCs/>
      <w:kern w:val="2"/>
      <w:sz w:val="21"/>
      <w:szCs w:val="24"/>
    </w:rPr>
  </w:style>
  <w:style w:type="paragraph" w:customStyle="1" w:styleId="33">
    <w:name w:val="正文文本 21"/>
    <w:basedOn w:val="1"/>
    <w:qFormat/>
    <w:uiPriority w:val="0"/>
    <w:pPr>
      <w:adjustRightInd w:val="0"/>
      <w:ind w:firstLine="552"/>
      <w:jc w:val="left"/>
      <w:textAlignment w:val="baseline"/>
    </w:pPr>
    <w:rPr>
      <w:rFonts w:ascii="宋体" w:hAnsi="Times New Roman" w:cs="Times New Roman"/>
      <w:kern w:val="0"/>
      <w:sz w:val="28"/>
      <w:szCs w:val="20"/>
    </w:rPr>
  </w:style>
  <w:style w:type="paragraph" w:customStyle="1" w:styleId="34">
    <w:name w:val="列出段落2"/>
    <w:basedOn w:val="1"/>
    <w:qFormat/>
    <w:uiPriority w:val="34"/>
    <w:pPr>
      <w:adjustRightInd/>
      <w:snapToGrid/>
      <w:spacing w:line="240" w:lineRule="auto"/>
      <w:ind w:firstLine="420"/>
    </w:pPr>
  </w:style>
  <w:style w:type="paragraph" w:styleId="35">
    <w:name w:val="No Spacing"/>
    <w:qFormat/>
    <w:uiPriority w:val="99"/>
    <w:pPr>
      <w:widowControl w:val="0"/>
      <w:adjustRightInd w:val="0"/>
      <w:snapToGrid w:val="0"/>
      <w:ind w:firstLine="200" w:firstLineChars="200"/>
      <w:jc w:val="both"/>
    </w:pPr>
    <w:rPr>
      <w:rFonts w:ascii="Calibri" w:hAnsi="Calibri" w:eastAsia="宋体" w:cs="Times New Roman"/>
      <w:kern w:val="2"/>
      <w:sz w:val="21"/>
      <w:szCs w:val="22"/>
      <w:lang w:val="en-US" w:eastAsia="zh-CN" w:bidi="ar-SA"/>
    </w:rPr>
  </w:style>
  <w:style w:type="paragraph" w:customStyle="1" w:styleId="36">
    <w:name w:val="List Paragraph3"/>
    <w:basedOn w:val="1"/>
    <w:qFormat/>
    <w:uiPriority w:val="99"/>
    <w:pPr>
      <w:ind w:firstLine="420" w:firstLineChars="200"/>
    </w:pPr>
  </w:style>
  <w:style w:type="paragraph" w:customStyle="1" w:styleId="3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6.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24197</Words>
  <Characters>31679</Characters>
  <Lines>261</Lines>
  <Paragraphs>73</Paragraphs>
  <TotalTime>14</TotalTime>
  <ScaleCrop>false</ScaleCrop>
  <LinksUpToDate>false</LinksUpToDate>
  <CharactersWithSpaces>33037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2020-05-12T08:03:00Z</dcterms:created>
  <dc:creator>lilywang</dc:creator>
  <cp:lastModifiedBy>zhongting_kzx</cp:lastModifiedBy>
  <cp:lastPrinted>2017-04-11T03:15:00Z</cp:lastPrinted>
  <dcterms:modified xsi:type="dcterms:W3CDTF">2022-12-05T11:12:16Z</dcterms:modified>
  <dc:title>众安在线财产保险股份有限公司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B47A9176DA4B43A28824C502E512DC23</vt:lpwstr>
  </property>
</Properties>
</file>