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“我爱我家C/D”优选增值服务产品细则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bookmarkStart w:id="0" w:name="_Hlk122682273"/>
      <w:r>
        <w:rPr>
          <w:rFonts w:hint="eastAsia" w:ascii="宋体" w:hAnsi="宋体" w:eastAsia="宋体" w:cs="宋体"/>
        </w:rPr>
        <w:t>中信银行信用卡中心（以下简称“卡中心”）</w:t>
      </w:r>
      <w:bookmarkEnd w:id="0"/>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产品（以下简称“我爱我家”）的中信银行信用卡持卡人（仅限主卡持卡人购买，以下简称“持卡人”），在产品有效期内，可享受零起点短信提醒服务、免除卡片挂失手续费服务、电话医生服务、家庭综合意外伤害保险服务</w:t>
      </w:r>
      <w:r>
        <w:rPr>
          <w:rFonts w:hint="eastAsia" w:asciiTheme="minorEastAsia" w:hAnsiTheme="minorEastAsia"/>
          <w:lang w:eastAsia="zh-CN"/>
        </w:rPr>
        <w:t>（</w:t>
      </w:r>
      <w:r>
        <w:rPr>
          <w:rFonts w:hint="eastAsia" w:asciiTheme="minorEastAsia" w:hAnsiTheme="minorEastAsia"/>
        </w:rPr>
        <w:t>附赠保险权益，最高保额</w:t>
      </w:r>
      <w:r>
        <w:rPr>
          <w:rFonts w:asciiTheme="minorEastAsia" w:hAnsiTheme="minorEastAsia"/>
        </w:rPr>
        <w:t>85</w:t>
      </w:r>
      <w:r>
        <w:rPr>
          <w:rFonts w:hint="eastAsia" w:asciiTheme="minorEastAsia" w:hAnsiTheme="minorEastAsia"/>
        </w:rPr>
        <w:t>万元</w:t>
      </w:r>
      <w:r>
        <w:rPr>
          <w:rFonts w:hint="eastAsia" w:asciiTheme="minorEastAsia" w:hAnsiTheme="minorEastAsia"/>
          <w:lang w:eastAsia="zh-CN"/>
        </w:rPr>
        <w:t>）</w:t>
      </w:r>
      <w:r>
        <w:rPr>
          <w:rFonts w:hint="eastAsia" w:asciiTheme="minorEastAsia" w:hAnsiTheme="minorEastAsia"/>
        </w:rPr>
        <w:t>、重疾绿色通道服务和重大疾病全球二次诊疗服务（最后两项服务仅限购买我爱我家D产品的持卡人享有）。</w:t>
      </w:r>
    </w:p>
    <w:p>
      <w:pPr>
        <w:ind w:firstLine="420" w:firstLineChars="200"/>
        <w:jc w:val="left"/>
      </w:pPr>
      <w:r>
        <w:rPr>
          <w:rFonts w:hint="eastAsia" w:ascii="Times New Roman" w:hAnsi="Times New Roman" w:eastAsia="宋体" w:cs="Times New Roman"/>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9"/>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2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04" w:type="dxa"/>
            <w:vAlign w:val="center"/>
          </w:tcPr>
          <w:p>
            <w:pPr>
              <w:jc w:val="center"/>
              <w:rPr>
                <w:rFonts w:asciiTheme="minorEastAsia" w:hAnsiTheme="minorEastAsia"/>
              </w:rPr>
            </w:pPr>
            <w:r>
              <w:rPr>
                <w:rFonts w:hint="eastAsia" w:asciiTheme="minorEastAsia" w:hAnsiTheme="minorEastAsia"/>
              </w:rPr>
              <w:t>产品名称</w:t>
            </w:r>
          </w:p>
        </w:tc>
        <w:tc>
          <w:tcPr>
            <w:tcW w:w="2220" w:type="dxa"/>
            <w:vAlign w:val="center"/>
          </w:tcPr>
          <w:p>
            <w:pPr>
              <w:jc w:val="center"/>
              <w:rPr>
                <w:rFonts w:asciiTheme="minorEastAsia" w:hAnsiTheme="minorEastAsia"/>
              </w:rPr>
            </w:pPr>
            <w:r>
              <w:rPr>
                <w:rFonts w:hint="eastAsia" w:asciiTheme="minorEastAsia" w:hAnsiTheme="minorEastAsia"/>
              </w:rPr>
              <w:t>收费标准</w:t>
            </w:r>
          </w:p>
        </w:tc>
        <w:tc>
          <w:tcPr>
            <w:tcW w:w="4184" w:type="dxa"/>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我爱我家C</w:t>
            </w:r>
          </w:p>
        </w:tc>
        <w:tc>
          <w:tcPr>
            <w:tcW w:w="2220" w:type="dxa"/>
            <w:vAlign w:val="center"/>
          </w:tcPr>
          <w:p>
            <w:pPr>
              <w:jc w:val="center"/>
              <w:rPr>
                <w:rFonts w:asciiTheme="minorEastAsia" w:hAnsiTheme="minorEastAsia"/>
              </w:rPr>
            </w:pPr>
            <w:r>
              <w:rPr>
                <w:rFonts w:asciiTheme="minorEastAsia" w:hAnsiTheme="minorEastAsia"/>
              </w:rPr>
              <w:t>399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asciiTheme="minorEastAsia" w:hAnsiTheme="minorEastAsia"/>
              </w:rPr>
              <w:t>4.</w:t>
            </w:r>
            <w:r>
              <w:rPr>
                <w:rFonts w:hint="eastAsia" w:asciiTheme="minorEastAsia" w:hAnsiTheme="minorEastAsia"/>
              </w:rPr>
              <w:t>家庭综合意外伤害保险服务(附赠保险权益，最高保额</w:t>
            </w:r>
            <w:r>
              <w:rPr>
                <w:rFonts w:asciiTheme="minorEastAsia" w:hAnsiTheme="minorEastAsia"/>
              </w:rPr>
              <w:t>85</w:t>
            </w:r>
            <w:r>
              <w:rPr>
                <w:rFonts w:hint="eastAsia" w:asciiTheme="minorEastAsia" w:hAnsiTheme="minorEastAsia"/>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我爱我家D</w:t>
            </w:r>
          </w:p>
        </w:tc>
        <w:tc>
          <w:tcPr>
            <w:tcW w:w="2220" w:type="dxa"/>
            <w:vAlign w:val="center"/>
          </w:tcPr>
          <w:p>
            <w:pPr>
              <w:jc w:val="center"/>
              <w:rPr>
                <w:rFonts w:asciiTheme="minorEastAsia" w:hAnsiTheme="minorEastAsia"/>
              </w:rPr>
            </w:pPr>
            <w:r>
              <w:rPr>
                <w:rFonts w:asciiTheme="minorEastAsia" w:hAnsiTheme="minorEastAsia"/>
              </w:rPr>
              <w:t>699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hint="eastAsia" w:asciiTheme="minorEastAsia" w:hAnsiTheme="minorEastAsia"/>
              </w:rPr>
              <w:t>4</w:t>
            </w:r>
            <w:r>
              <w:rPr>
                <w:rFonts w:asciiTheme="minorEastAsia" w:hAnsiTheme="minorEastAsia"/>
              </w:rPr>
              <w:t>.</w:t>
            </w:r>
            <w:r>
              <w:rPr>
                <w:rFonts w:hint="eastAsia" w:asciiTheme="minorEastAsia" w:hAnsiTheme="minorEastAsia"/>
              </w:rPr>
              <w:t>重大疾病全球二次诊疗服务；</w:t>
            </w:r>
          </w:p>
          <w:p>
            <w:pPr>
              <w:jc w:val="left"/>
              <w:rPr>
                <w:rFonts w:asciiTheme="minorEastAsia" w:hAnsiTheme="minorEastAsia"/>
              </w:rPr>
            </w:pPr>
            <w:r>
              <w:rPr>
                <w:rFonts w:hint="eastAsia" w:asciiTheme="minorEastAsia" w:hAnsiTheme="minorEastAsia"/>
              </w:rPr>
              <w:t>5</w:t>
            </w:r>
            <w:r>
              <w:rPr>
                <w:rFonts w:asciiTheme="minorEastAsia" w:hAnsiTheme="minorEastAsia"/>
              </w:rPr>
              <w:t>.</w:t>
            </w:r>
            <w:r>
              <w:rPr>
                <w:rFonts w:hint="eastAsia" w:asciiTheme="minorEastAsia" w:hAnsiTheme="minorEastAsia"/>
              </w:rPr>
              <w:t>重疾绿色通道服务；</w:t>
            </w:r>
          </w:p>
          <w:p>
            <w:pPr>
              <w:jc w:val="left"/>
              <w:rPr>
                <w:rFonts w:asciiTheme="minorEastAsia" w:hAnsiTheme="minorEastAsia"/>
              </w:rPr>
            </w:pPr>
            <w:r>
              <w:rPr>
                <w:rFonts w:asciiTheme="minorEastAsia" w:hAnsiTheme="minorEastAsia"/>
              </w:rPr>
              <w:t>6.</w:t>
            </w:r>
            <w:r>
              <w:rPr>
                <w:rFonts w:hint="eastAsia" w:asciiTheme="minorEastAsia" w:hAnsiTheme="minorEastAsia"/>
              </w:rPr>
              <w:t>家庭综合意外伤害保险服务(附赠保险权益，最高保额</w:t>
            </w:r>
            <w:r>
              <w:rPr>
                <w:rFonts w:asciiTheme="minorEastAsia" w:hAnsiTheme="minorEastAsia"/>
              </w:rPr>
              <w:t>85</w:t>
            </w:r>
            <w:r>
              <w:rPr>
                <w:rFonts w:hint="eastAsia" w:asciiTheme="minorEastAsia" w:hAnsiTheme="minorEastAsia"/>
              </w:rPr>
              <w:t xml:space="preserve">万元) </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ind w:firstLine="422" w:firstLineChars="200"/>
        <w:jc w:val="left"/>
        <w:rPr>
          <w:rFonts w:asciiTheme="minorEastAsia" w:hAnsiTheme="minorEastAsia"/>
          <w:b/>
          <w:bCs/>
        </w:rPr>
      </w:pPr>
      <w:r>
        <w:rPr>
          <w:rFonts w:hint="eastAsia" w:asciiTheme="minorEastAsia" w:hAnsiTheme="minorEastAsia"/>
          <w:b/>
          <w:bCs/>
        </w:rPr>
        <w:t>2.免除卡片挂失手续费服务内容</w:t>
      </w:r>
    </w:p>
    <w:p>
      <w:pPr>
        <w:ind w:firstLine="420" w:firstLineChars="200"/>
        <w:jc w:val="left"/>
        <w:rPr>
          <w:rFonts w:asciiTheme="minorEastAsia" w:hAnsiTheme="minorEastAsia"/>
        </w:rPr>
      </w:pPr>
      <w:r>
        <w:rPr>
          <w:rFonts w:hint="eastAsia" w:ascii="宋体" w:hAnsi="宋体" w:eastAsia="宋体" w:cs="Times New Roman"/>
        </w:rPr>
        <w:t>卡片</w:t>
      </w:r>
      <w:r>
        <w:rPr>
          <w:rFonts w:hint="eastAsia" w:asciiTheme="minorEastAsia" w:hAnsiTheme="minorEastAsia"/>
        </w:rPr>
        <w:t>挂失手续费免除服务仅限于中信银行信用卡个人卡主卡持卡人，并在服务有效期内可享受每年免除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不限次电话医生服务内容</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由保险公司合作</w:t>
      </w:r>
      <w:r>
        <w:rPr>
          <w:rFonts w:hint="eastAsia" w:asciiTheme="minorEastAsia" w:hAnsiTheme="minorEastAsia"/>
          <w:lang w:val="en-US" w:eastAsia="zh-CN"/>
        </w:rPr>
        <w:t>机构</w:t>
      </w:r>
      <w:r>
        <w:rPr>
          <w:rFonts w:hint="eastAsia" w:asciiTheme="minorEastAsia" w:hAnsiTheme="minorEastAsia"/>
        </w:rPr>
        <w:t>提供</w:t>
      </w:r>
      <w:r>
        <w:rPr>
          <w:rFonts w:hint="eastAsia"/>
        </w:rPr>
        <w:t>三甲医院全科、儿科在职医生为</w:t>
      </w:r>
      <w:r>
        <w:rPr>
          <w:rFonts w:hint="eastAsia"/>
          <w:lang w:val="en-US" w:eastAsia="zh-CN"/>
        </w:rPr>
        <w:t>持卡人</w:t>
      </w:r>
      <w:r>
        <w:rPr>
          <w:rFonts w:hint="eastAsia"/>
        </w:rPr>
        <w:t>提供一对一健康咨询服务，解答常见急症处理、疾病防治、就医、用药、康复、饮食、养生、运动</w:t>
      </w:r>
      <w:r>
        <w:rPr>
          <w:rFonts w:hint="eastAsia"/>
          <w:lang w:eastAsia="zh-CN"/>
        </w:rPr>
        <w:t>、</w:t>
      </w:r>
      <w:r>
        <w:rPr>
          <w:rFonts w:hint="eastAsia"/>
        </w:rPr>
        <w:t>报告解读、智能导诊、慢病管理等方面的健康困惑，并提供生活方式改善建议、疾病预防常识等健康知识。</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使用流程如下：</w:t>
      </w:r>
    </w:p>
    <w:p>
      <w:pPr>
        <w:numPr>
          <w:ilvl w:val="0"/>
          <w:numId w:val="4"/>
        </w:numPr>
        <w:tabs>
          <w:tab w:val="left" w:pos="312"/>
          <w:tab w:val="left" w:pos="640"/>
        </w:tabs>
        <w:ind w:firstLine="420" w:firstLineChars="200"/>
        <w:jc w:val="left"/>
        <w:rPr>
          <w:rFonts w:hint="eastAsia" w:asciiTheme="minorEastAsia" w:hAnsiTheme="minorEastAsia" w:eastAsiaTheme="minorEastAsia" w:cstheme="minorBidi"/>
          <w:b w:val="0"/>
          <w:bCs w:val="0"/>
          <w:sz w:val="21"/>
          <w:szCs w:val="24"/>
          <w:lang w:val="en-US" w:eastAsia="zh-CN"/>
        </w:rPr>
      </w:pPr>
      <w:r>
        <w:rPr>
          <w:rFonts w:hint="eastAsia" w:asciiTheme="minorEastAsia" w:hAnsiTheme="minorEastAsia" w:eastAsiaTheme="minorEastAsia" w:cstheme="minorBidi"/>
          <w:b w:val="0"/>
          <w:bCs w:val="0"/>
          <w:sz w:val="21"/>
          <w:szCs w:val="24"/>
          <w:lang w:val="en-US" w:eastAsia="zh-CN"/>
        </w:rPr>
        <w:t>拨打服务电话</w:t>
      </w:r>
    </w:p>
    <w:p>
      <w:pPr>
        <w:numPr>
          <w:ilvl w:val="-1"/>
          <w:numId w:val="0"/>
        </w:numPr>
        <w:ind w:left="820" w:firstLine="0" w:firstLineChars="0"/>
        <w:jc w:val="left"/>
        <w:rPr>
          <w:rFonts w:hint="eastAsia" w:asciiTheme="minorEastAsia" w:hAnsiTheme="minorEastAsia"/>
          <w:b/>
          <w:bCs/>
          <w:highlight w:val="none"/>
        </w:rPr>
      </w:pPr>
      <w:r>
        <w:rPr>
          <w:rFonts w:hint="eastAsia" w:asciiTheme="minorEastAsia" w:hAnsiTheme="minorEastAsia" w:cstheme="minorBidi"/>
          <w:b/>
          <w:bCs/>
          <w:sz w:val="21"/>
          <w:szCs w:val="24"/>
          <w:lang w:val="en-US" w:eastAsia="zh-CN"/>
        </w:rPr>
        <w:t>1）在2023年9月30日及之前订购的订单：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cstheme="minorBidi"/>
          <w:b w:val="0"/>
          <w:bCs w:val="0"/>
          <w:sz w:val="21"/>
          <w:szCs w:val="24"/>
          <w:lang w:val="en-US" w:eastAsia="zh-CN"/>
        </w:rPr>
        <w:t>拨打服务电话400-050-6770（服务时间9：00-18:00）</w:t>
      </w:r>
    </w:p>
    <w:p>
      <w:pPr>
        <w:numPr>
          <w:ilvl w:val="-1"/>
          <w:numId w:val="0"/>
        </w:numPr>
        <w:ind w:left="0" w:firstLine="843" w:firstLineChars="400"/>
        <w:jc w:val="left"/>
        <w:rPr>
          <w:rFonts w:hint="eastAsia" w:asciiTheme="minorEastAsia" w:hAnsiTheme="minorEastAsia" w:cstheme="minorBidi"/>
          <w:b w:val="0"/>
          <w:bCs w:val="0"/>
          <w:sz w:val="21"/>
          <w:szCs w:val="24"/>
          <w:lang w:val="en-US" w:eastAsia="zh-CN"/>
        </w:rPr>
      </w:pPr>
      <w:r>
        <w:rPr>
          <w:rFonts w:hint="eastAsia" w:asciiTheme="minorEastAsia" w:hAnsiTheme="minorEastAsia" w:cstheme="minorBidi"/>
          <w:b/>
          <w:bCs/>
          <w:sz w:val="21"/>
          <w:szCs w:val="24"/>
          <w:lang w:val="en-US" w:eastAsia="zh-CN"/>
        </w:rPr>
        <w:t>2）在2023年10月1日及之后订购的订单（含续费订单）：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eastAsiaTheme="minorEastAsia" w:cstheme="minorBidi"/>
          <w:b w:val="0"/>
          <w:bCs w:val="0"/>
          <w:sz w:val="21"/>
          <w:szCs w:val="24"/>
          <w:lang w:val="en-US" w:eastAsia="zh-CN"/>
        </w:rPr>
        <w:t>拨打</w:t>
      </w:r>
      <w:r>
        <w:rPr>
          <w:rFonts w:hint="eastAsia" w:asciiTheme="minorEastAsia" w:hAnsiTheme="minorEastAsia"/>
          <w:lang w:val="zh-TW"/>
        </w:rPr>
        <w:t>24小时全国统一</w:t>
      </w:r>
      <w:r>
        <w:rPr>
          <w:rFonts w:hint="eastAsia" w:asciiTheme="minorEastAsia" w:hAnsiTheme="minorEastAsia" w:eastAsiaTheme="minorEastAsia" w:cstheme="minorBidi"/>
          <w:b w:val="0"/>
          <w:bCs w:val="0"/>
          <w:sz w:val="21"/>
          <w:szCs w:val="24"/>
          <w:lang w:val="en-US" w:eastAsia="zh-CN"/>
        </w:rPr>
        <w:t>服务电话400-691-5159</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（2）</w:t>
      </w:r>
      <w:r>
        <w:rPr>
          <w:rFonts w:hint="eastAsia" w:asciiTheme="minorEastAsia" w:hAnsiTheme="minorEastAsia"/>
          <w:b w:val="0"/>
          <w:bCs w:val="0"/>
          <w:sz w:val="21"/>
          <w:szCs w:val="24"/>
          <w:highlight w:val="none"/>
          <w:lang w:val="en-US" w:eastAsia="zh-CN"/>
        </w:rPr>
        <w:t>客服核实相关信息并确认需求后，医生5分钟内会回拨电话，与您进行电话医生服务，您满意后可自行挂断。</w:t>
      </w:r>
    </w:p>
    <w:p>
      <w:pPr>
        <w:tabs>
          <w:tab w:val="left" w:pos="312"/>
          <w:tab w:val="left" w:pos="640"/>
        </w:tabs>
        <w:ind w:firstLine="420" w:firstLineChars="200"/>
        <w:jc w:val="left"/>
      </w:pPr>
      <w:r>
        <w:rPr>
          <w:rFonts w:hint="eastAsia" w:asciiTheme="minorEastAsia" w:hAnsiTheme="minorEastAsia"/>
          <w:highlight w:val="none"/>
        </w:rPr>
        <w:t>（3）</w:t>
      </w:r>
      <w:r>
        <w:rPr>
          <w:rFonts w:hint="eastAsia" w:asciiTheme="minorEastAsia" w:hAnsiTheme="minorEastAsia" w:eastAsiaTheme="minorEastAsia" w:cstheme="minorBidi"/>
          <w:b w:val="0"/>
          <w:bCs w:val="0"/>
          <w:sz w:val="21"/>
          <w:szCs w:val="24"/>
          <w:highlight w:val="none"/>
          <w:lang w:val="en-US" w:eastAsia="zh-CN"/>
        </w:rPr>
        <w:t>如遇通话异常中断，医生则根据实际情况进行回拨，与您重新建立沟通。</w:t>
      </w:r>
    </w:p>
    <w:p>
      <w:pPr>
        <w:numPr>
          <w:ilvl w:val="0"/>
          <w:numId w:val="3"/>
        </w:numPr>
        <w:tabs>
          <w:tab w:val="left" w:pos="640"/>
        </w:tabs>
        <w:jc w:val="left"/>
        <w:rPr>
          <w:rFonts w:asciiTheme="minorEastAsia" w:hAnsiTheme="minorEastAsia"/>
          <w:b/>
          <w:bCs/>
        </w:rPr>
      </w:pPr>
      <w:r>
        <w:rPr>
          <w:rFonts w:hint="eastAsia" w:asciiTheme="minorEastAsia" w:hAnsiTheme="minorEastAsia"/>
          <w:b/>
          <w:bCs/>
        </w:rPr>
        <w:t>重大疾病全球第二诊疗服务</w:t>
      </w:r>
      <w:r>
        <w:rPr>
          <w:rFonts w:hint="eastAsia" w:asciiTheme="minorEastAsia" w:hAnsiTheme="minorEastAsia"/>
        </w:rPr>
        <w:t>（仅限购买</w:t>
      </w:r>
      <w:r>
        <w:rPr>
          <w:rFonts w:hint="eastAsia" w:asciiTheme="minorEastAsia" w:hAnsiTheme="minorEastAsia"/>
          <w:lang w:eastAsia="zh-CN"/>
        </w:rPr>
        <w:t>“</w:t>
      </w:r>
      <w:r>
        <w:rPr>
          <w:rFonts w:hint="eastAsia" w:asciiTheme="minorEastAsia" w:hAnsiTheme="minorEastAsia"/>
        </w:rPr>
        <w:t>我爱我家D</w:t>
      </w:r>
      <w:r>
        <w:rPr>
          <w:rFonts w:hint="eastAsia" w:asciiTheme="minorEastAsia" w:hAnsiTheme="minorEastAsia"/>
          <w:lang w:eastAsia="zh-CN"/>
        </w:rPr>
        <w:t>”</w:t>
      </w:r>
      <w:r>
        <w:rPr>
          <w:rFonts w:hint="eastAsia" w:asciiTheme="minorEastAsia" w:hAnsiTheme="minorEastAsia"/>
        </w:rPr>
        <w:t>优选增值服务产品</w:t>
      </w:r>
      <w:r>
        <w:rPr>
          <w:rFonts w:hint="eastAsia" w:asciiTheme="minorEastAsia" w:hAnsiTheme="minorEastAsia"/>
          <w:lang w:val="en-US" w:eastAsia="zh-CN"/>
        </w:rPr>
        <w:t>的</w:t>
      </w:r>
      <w:r>
        <w:rPr>
          <w:rFonts w:hint="eastAsia" w:asciiTheme="minorEastAsia" w:hAnsiTheme="minorEastAsia"/>
        </w:rPr>
        <w:t>持卡人）</w:t>
      </w:r>
    </w:p>
    <w:p>
      <w:pPr>
        <w:ind w:firstLine="422" w:firstLineChars="200"/>
        <w:jc w:val="left"/>
        <w:rPr>
          <w:rFonts w:hint="eastAsia" w:asciiTheme="minorEastAsia" w:hAnsiTheme="minorEastAsia" w:cstheme="minorBidi"/>
          <w:b/>
          <w:bCs/>
          <w:sz w:val="21"/>
          <w:szCs w:val="24"/>
          <w:lang w:val="en-US" w:eastAsia="zh-CN"/>
        </w:rPr>
      </w:pPr>
      <w:r>
        <w:rPr>
          <w:rFonts w:hint="eastAsia" w:asciiTheme="minorEastAsia" w:hAnsiTheme="minorEastAsia" w:cstheme="minorBidi"/>
          <w:b/>
          <w:bCs/>
          <w:sz w:val="21"/>
          <w:szCs w:val="24"/>
          <w:lang w:val="en-US" w:eastAsia="zh-CN"/>
        </w:rPr>
        <w:t>在2023年9月30日及之前订购的订单：</w:t>
      </w:r>
    </w:p>
    <w:p>
      <w:pPr>
        <w:ind w:firstLine="420" w:firstLineChars="200"/>
        <w:jc w:val="left"/>
        <w:rPr>
          <w:rFonts w:ascii="宋体" w:hAnsi="宋体" w:eastAsia="宋体" w:cs="Times New Roman"/>
        </w:rPr>
      </w:pPr>
      <w:r>
        <w:rPr>
          <w:rFonts w:hint="eastAsia" w:ascii="宋体" w:hAnsi="宋体" w:eastAsia="宋体" w:cs="Times New Roman"/>
        </w:rPr>
        <w:t>对于购买</w:t>
      </w:r>
      <w:r>
        <w:rPr>
          <w:rFonts w:hint="eastAsia" w:ascii="宋体" w:hAnsi="宋体" w:eastAsia="宋体" w:cs="宋体"/>
          <w:b/>
          <w:bCs/>
        </w:rPr>
        <w:t>我爱我家D</w:t>
      </w:r>
      <w:r>
        <w:rPr>
          <w:rFonts w:hint="eastAsia" w:ascii="宋体" w:hAnsi="宋体" w:eastAsia="宋体" w:cs="Times New Roman"/>
        </w:rPr>
        <w:t>的持卡人及其配偶、子女、家中4位父母，在服务有效期内，</w:t>
      </w:r>
      <w:r>
        <w:rPr>
          <w:rFonts w:hint="eastAsia" w:ascii="宋体" w:hAnsi="宋体" w:eastAsia="宋体" w:cs="Times New Roman"/>
          <w:b/>
          <w:bCs/>
        </w:rPr>
        <w:t>如发现罹患规定的重大疾病（详见《重大疾病服务二次诊疗疾病列表》）</w:t>
      </w:r>
      <w:r>
        <w:rPr>
          <w:rFonts w:hint="eastAsia" w:ascii="宋体" w:hAnsi="宋体" w:eastAsia="宋体" w:cs="Times New Roman"/>
        </w:rPr>
        <w:t>，可由中信银行信用卡中心的合作机构为持卡人提供权威医疗机构（释义一）的第二诊疗意见（释义二）。即，如罹患上述重大疾病，可寻求本服务的合作机构提供服务，服务机构会甄选出擅长治疗该病症的专家，为持卡人提供独立、客观的诊断意见及病案翻译服务，协助持卡人更全面</w:t>
      </w:r>
      <w:r>
        <w:rPr>
          <w:rFonts w:hint="eastAsia" w:ascii="宋体" w:hAnsi="宋体" w:eastAsia="宋体" w:cs="Times New Roman"/>
          <w:lang w:val="en-US" w:eastAsia="zh-CN"/>
        </w:rPr>
        <w:t>地</w:t>
      </w:r>
      <w:r>
        <w:rPr>
          <w:rFonts w:hint="eastAsia" w:ascii="宋体" w:hAnsi="宋体" w:eastAsia="宋体" w:cs="Times New Roman"/>
        </w:rPr>
        <w:t>了解自身病情，并提供书面专家意见报告。</w:t>
      </w:r>
    </w:p>
    <w:p>
      <w:pPr>
        <w:ind w:firstLine="420" w:firstLineChars="200"/>
        <w:jc w:val="left"/>
        <w:rPr>
          <w:rFonts w:ascii="宋体" w:hAnsi="宋体" w:eastAsia="宋体" w:cs="Times New Roman"/>
        </w:rPr>
      </w:pPr>
      <w:r>
        <w:rPr>
          <w:rFonts w:hint="eastAsia" w:ascii="宋体" w:hAnsi="宋体" w:eastAsia="宋体" w:cs="Times New Roman"/>
        </w:rPr>
        <w:t>释义一：权威医疗机构，详见</w:t>
      </w:r>
      <w:r>
        <w:rPr>
          <w:rFonts w:hint="eastAsia" w:ascii="宋体" w:hAnsi="宋体" w:eastAsia="宋体" w:cs="Times New Roman"/>
          <w:b/>
          <w:bCs/>
        </w:rPr>
        <w:t>《重大疾病服务二次诊疗服务适用权威医疗机构清单》</w:t>
      </w:r>
    </w:p>
    <w:p>
      <w:pPr>
        <w:ind w:firstLine="420" w:firstLineChars="200"/>
        <w:jc w:val="left"/>
        <w:rPr>
          <w:rFonts w:ascii="宋体" w:hAnsi="宋体" w:eastAsia="宋体" w:cs="Times New Roman"/>
        </w:rPr>
      </w:pPr>
      <w:r>
        <w:rPr>
          <w:rFonts w:hint="eastAsia"/>
        </w:rPr>
        <w:t>释义二：</w:t>
      </w:r>
      <w:r>
        <w:rPr>
          <w:rFonts w:hint="eastAsia" w:ascii="宋体" w:hAnsi="宋体" w:eastAsia="宋体" w:cs="Times New Roman"/>
        </w:rPr>
        <w:t>第二诊疗意见是指在第一诊断的基础上，由持卡人发起的，由中信银行信用卡中心的合作机构提供的，对首次诊断结果或治疗意见的再次评估的第二医疗意见。</w:t>
      </w:r>
    </w:p>
    <w:p>
      <w:pPr>
        <w:ind w:firstLine="422" w:firstLineChars="200"/>
        <w:jc w:val="left"/>
        <w:rPr>
          <w:rFonts w:hint="eastAsia" w:ascii="宋体" w:hAnsi="宋体" w:eastAsia="宋体" w:cs="Times New Roman"/>
          <w:b/>
          <w:bCs/>
          <w:lang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宋体" w:hAnsi="宋体" w:eastAsia="宋体" w:cs="Times New Roman"/>
          <w:b/>
          <w:bCs/>
          <w:lang w:eastAsia="zh-CN"/>
        </w:rPr>
        <w:t>：</w:t>
      </w:r>
    </w:p>
    <w:p>
      <w:pPr>
        <w:ind w:firstLine="420" w:firstLineChars="200"/>
        <w:jc w:val="left"/>
        <w:rPr>
          <w:rFonts w:ascii="宋体" w:hAnsi="宋体" w:eastAsia="宋体" w:cs="Times New Roman"/>
        </w:rPr>
      </w:pPr>
      <w:r>
        <w:rPr>
          <w:rFonts w:hint="eastAsia" w:ascii="宋体" w:hAnsi="宋体" w:eastAsia="宋体" w:cs="Times New Roman"/>
        </w:rPr>
        <w:t>对于购买</w:t>
      </w:r>
      <w:r>
        <w:rPr>
          <w:rFonts w:hint="eastAsia" w:ascii="宋体" w:hAnsi="宋体" w:eastAsia="宋体" w:cs="宋体"/>
          <w:b/>
          <w:bCs/>
        </w:rPr>
        <w:t>我爱我家D</w:t>
      </w:r>
      <w:r>
        <w:rPr>
          <w:rFonts w:hint="eastAsia" w:ascii="宋体" w:hAnsi="宋体" w:eastAsia="宋体" w:cs="Times New Roman"/>
        </w:rPr>
        <w:t>的持卡人及其配偶、子女、家中4位父母，在服务有效期内，</w:t>
      </w:r>
      <w:r>
        <w:rPr>
          <w:rFonts w:hint="eastAsia" w:ascii="宋体" w:hAnsi="宋体" w:eastAsia="宋体" w:cs="Times New Roman"/>
          <w:b/>
          <w:bCs/>
        </w:rPr>
        <w:t>如发现罹患规定的重大疾病（详见《重疾绿通的疾病列表》）</w:t>
      </w:r>
      <w:r>
        <w:rPr>
          <w:rFonts w:hint="eastAsia" w:ascii="宋体" w:hAnsi="宋体" w:eastAsia="宋体" w:cs="Times New Roman"/>
        </w:rPr>
        <w:t>，可</w:t>
      </w:r>
      <w:r>
        <w:rPr>
          <w:rFonts w:hint="eastAsia" w:asciiTheme="minorEastAsia" w:hAnsiTheme="minorEastAsia" w:cstheme="minorBidi"/>
          <w:b w:val="0"/>
          <w:bCs w:val="0"/>
          <w:sz w:val="21"/>
          <w:szCs w:val="24"/>
          <w:lang w:val="en-US" w:eastAsia="zh-CN"/>
        </w:rPr>
        <w:t>由</w:t>
      </w:r>
      <w:r>
        <w:rPr>
          <w:rFonts w:hint="eastAsia" w:ascii="宋体" w:hAnsi="宋体" w:eastAsia="宋体" w:cs="Times New Roman"/>
          <w:lang w:val="zh-TW"/>
        </w:rPr>
        <w:t>保险公司</w:t>
      </w:r>
      <w:r>
        <w:rPr>
          <w:rFonts w:hint="eastAsia" w:ascii="宋体" w:hAnsi="宋体" w:eastAsia="宋体" w:cs="Times New Roman"/>
        </w:rPr>
        <w:t>的合作机构</w:t>
      </w:r>
      <w:r>
        <w:rPr>
          <w:rFonts w:hint="eastAsia" w:ascii="宋体" w:hAnsi="宋体" w:eastAsia="宋体" w:cs="Times New Roman"/>
          <w:lang w:val="zh-TW"/>
        </w:rPr>
        <w:t>深圳永安泰健康管理有限公司</w:t>
      </w:r>
      <w:r>
        <w:rPr>
          <w:rFonts w:hint="eastAsia" w:ascii="宋体" w:hAnsi="宋体" w:eastAsia="宋体" w:cs="Times New Roman"/>
        </w:rPr>
        <w:t>为持卡人提供权威医疗机构（释义一）的第二诊疗意见（释义二）。即，如罹患上述重大疾病，可寻求本服务的合作机构提供服务，服务机构会甄选出擅长治疗该病症的专家，为持卡人提供独立、客观的诊断意见及病案翻译服务，协助持卡人更全面</w:t>
      </w:r>
      <w:r>
        <w:rPr>
          <w:rFonts w:hint="eastAsia" w:ascii="宋体" w:hAnsi="宋体" w:eastAsia="宋体" w:cs="Times New Roman"/>
          <w:lang w:val="en-US" w:eastAsia="zh-CN"/>
        </w:rPr>
        <w:t>地</w:t>
      </w:r>
      <w:r>
        <w:rPr>
          <w:rFonts w:hint="eastAsia" w:ascii="宋体" w:hAnsi="宋体" w:eastAsia="宋体" w:cs="Times New Roman"/>
        </w:rPr>
        <w:t>了解自身病情，并提供书面专家意见报告。</w:t>
      </w:r>
    </w:p>
    <w:p>
      <w:pPr>
        <w:ind w:firstLine="420" w:firstLineChars="200"/>
        <w:jc w:val="left"/>
        <w:rPr>
          <w:rFonts w:ascii="宋体" w:hAnsi="宋体" w:eastAsia="宋体" w:cs="Times New Roman"/>
        </w:rPr>
      </w:pPr>
      <w:r>
        <w:rPr>
          <w:rFonts w:hint="eastAsia" w:ascii="宋体" w:hAnsi="宋体" w:eastAsia="宋体" w:cs="Times New Roman"/>
        </w:rPr>
        <w:t>释义一：权威医疗机构，详见</w:t>
      </w:r>
      <w:r>
        <w:rPr>
          <w:rFonts w:hint="eastAsia" w:ascii="宋体" w:hAnsi="宋体" w:eastAsia="宋体" w:cs="Times New Roman"/>
          <w:b/>
          <w:bCs/>
        </w:rPr>
        <w:t>《重疾绿通服务医疗机构列表</w:t>
      </w:r>
      <w:r>
        <w:rPr>
          <w:rFonts w:hint="eastAsia"/>
          <w:b/>
          <w:bCs/>
          <w:lang w:val="en-US" w:eastAsia="zh-CN"/>
        </w:rPr>
        <w:t>2</w:t>
      </w:r>
      <w:r>
        <w:rPr>
          <w:rFonts w:hint="eastAsia" w:ascii="宋体" w:hAnsi="宋体" w:eastAsia="宋体" w:cs="Times New Roman"/>
          <w:b/>
          <w:bCs/>
        </w:rPr>
        <w:t>》</w:t>
      </w:r>
    </w:p>
    <w:p>
      <w:pPr>
        <w:ind w:firstLine="420" w:firstLineChars="200"/>
        <w:jc w:val="left"/>
        <w:rPr>
          <w:rFonts w:hint="eastAsia" w:ascii="宋体" w:hAnsi="宋体" w:eastAsia="宋体" w:cs="Times New Roman"/>
          <w:b/>
          <w:bCs/>
        </w:rPr>
      </w:pPr>
      <w:r>
        <w:rPr>
          <w:rFonts w:hint="eastAsia"/>
        </w:rPr>
        <w:t>释义二：</w:t>
      </w:r>
      <w:r>
        <w:rPr>
          <w:rFonts w:hint="eastAsia" w:ascii="宋体" w:hAnsi="宋体" w:eastAsia="宋体" w:cs="Times New Roman"/>
        </w:rPr>
        <w:t>第二诊疗意见是指在第一诊断的基础上，由持卡人发起的，由</w:t>
      </w:r>
      <w:r>
        <w:rPr>
          <w:rFonts w:hint="eastAsia" w:ascii="宋体" w:hAnsi="宋体" w:eastAsia="宋体" w:cs="Times New Roman"/>
          <w:lang w:val="zh-TW"/>
        </w:rPr>
        <w:t>保险公司</w:t>
      </w:r>
      <w:r>
        <w:rPr>
          <w:rFonts w:hint="eastAsia" w:ascii="宋体" w:hAnsi="宋体" w:eastAsia="宋体" w:cs="Times New Roman"/>
        </w:rPr>
        <w:t>的合作机构提供的，对首次诊断结果或治疗意见的再次评估的第二医疗意见。</w:t>
      </w:r>
    </w:p>
    <w:p>
      <w:pPr>
        <w:ind w:firstLine="422" w:firstLineChars="200"/>
        <w:jc w:val="left"/>
        <w:rPr>
          <w:rFonts w:ascii="宋体" w:hAnsi="宋体" w:eastAsia="宋体" w:cs="Times New Roman"/>
          <w:b/>
          <w:bCs/>
        </w:rPr>
      </w:pPr>
      <w:r>
        <w:rPr>
          <w:rFonts w:hint="eastAsia" w:ascii="宋体" w:hAnsi="宋体" w:eastAsia="宋体" w:cs="Times New Roman"/>
          <w:b/>
          <w:bCs/>
        </w:rPr>
        <w:t>（1）服务流程</w:t>
      </w:r>
    </w:p>
    <w:p>
      <w:pPr>
        <w:numPr>
          <w:ilvl w:val="0"/>
          <w:numId w:val="5"/>
        </w:numPr>
        <w:jc w:val="left"/>
        <w:rPr>
          <w:rFonts w:ascii="宋体" w:hAnsi="宋体" w:eastAsia="宋体" w:cs="Times New Roman"/>
          <w:b w:val="0"/>
          <w:bCs w:val="0"/>
        </w:rPr>
      </w:pPr>
      <w:r>
        <w:rPr>
          <w:rFonts w:hint="eastAsia" w:ascii="宋体" w:hAnsi="宋体" w:eastAsia="宋体" w:cs="Times New Roman"/>
          <w:b w:val="0"/>
          <w:bCs w:val="0"/>
          <w:lang w:val="en-US" w:eastAsia="zh-CN"/>
        </w:rPr>
        <w:t>服务预约</w:t>
      </w:r>
    </w:p>
    <w:p>
      <w:pPr>
        <w:numPr>
          <w:ilvl w:val="-1"/>
          <w:numId w:val="0"/>
        </w:numPr>
        <w:ind w:left="400" w:firstLine="422" w:firstLineChars="200"/>
        <w:jc w:val="left"/>
        <w:rPr>
          <w:rFonts w:ascii="宋体" w:hAnsi="宋体" w:eastAsia="宋体" w:cs="Times New Roman"/>
          <w:b/>
          <w:bCs/>
        </w:rPr>
      </w:pPr>
      <w:r>
        <w:rPr>
          <w:rFonts w:hint="eastAsia" w:asciiTheme="minorEastAsia" w:hAnsiTheme="minorEastAsia" w:cstheme="minorBidi"/>
          <w:b/>
          <w:bCs/>
          <w:sz w:val="21"/>
          <w:szCs w:val="24"/>
          <w:lang w:val="en-US" w:eastAsia="zh-CN"/>
        </w:rPr>
        <w:t>在2023年9月30日及之前订购的订单：</w:t>
      </w:r>
    </w:p>
    <w:p>
      <w:pPr>
        <w:numPr>
          <w:ilvl w:val="-1"/>
          <w:numId w:val="0"/>
        </w:numPr>
        <w:ind w:left="798" w:leftChars="380" w:firstLine="0" w:firstLineChars="0"/>
        <w:jc w:val="left"/>
        <w:rPr>
          <w:rFonts w:ascii="宋体" w:hAnsi="宋体" w:eastAsia="宋体" w:cs="Times New Roman"/>
        </w:rPr>
      </w:pPr>
      <w:r>
        <w:rPr>
          <w:rFonts w:hint="eastAsia" w:ascii="宋体" w:hAnsi="宋体" w:eastAsia="宋体" w:cs="Times New Roman"/>
        </w:rPr>
        <w:t>持卡人拨打中信银行信用卡中心的全国统一服务专线400</w:t>
      </w:r>
      <w:r>
        <w:rPr>
          <w:rFonts w:hint="eastAsia" w:ascii="宋体" w:hAnsi="宋体" w:eastAsia="宋体" w:cs="Times New Roman"/>
          <w:lang w:val="en-US" w:eastAsia="zh-CN"/>
        </w:rPr>
        <w:t>-889-5558</w:t>
      </w:r>
      <w:r>
        <w:rPr>
          <w:rFonts w:hint="eastAsia" w:ascii="宋体" w:hAnsi="宋体" w:eastAsia="宋体" w:cs="Times New Roman"/>
        </w:rPr>
        <w:t>，进行服务预约申请</w:t>
      </w:r>
      <w:r>
        <w:rPr>
          <w:rFonts w:hint="eastAsia" w:ascii="宋体" w:hAnsi="宋体" w:eastAsia="宋体" w:cs="Times New Roman"/>
          <w:lang w:eastAsia="zh-CN"/>
        </w:rPr>
        <w:t>。</w:t>
      </w:r>
    </w:p>
    <w:p>
      <w:pPr>
        <w:numPr>
          <w:ilvl w:val="-1"/>
          <w:numId w:val="0"/>
        </w:numPr>
        <w:ind w:left="798" w:leftChars="380" w:firstLine="0" w:firstLineChars="0"/>
        <w:jc w:val="left"/>
        <w:rPr>
          <w:rFonts w:hint="eastAsia" w:ascii="宋体" w:hAnsi="宋体" w:eastAsia="宋体" w:cs="Times New Roman"/>
          <w:b/>
          <w:bCs/>
          <w:lang w:val="zh-TW"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宋体" w:hAnsi="宋体" w:eastAsia="宋体" w:cs="Times New Roman"/>
          <w:b/>
          <w:bCs/>
          <w:lang w:val="zh-TW" w:eastAsia="zh-CN"/>
        </w:rPr>
        <w:t>：</w:t>
      </w:r>
    </w:p>
    <w:p>
      <w:pPr>
        <w:numPr>
          <w:ilvl w:val="-1"/>
          <w:numId w:val="0"/>
        </w:numPr>
        <w:ind w:left="798" w:leftChars="380" w:firstLine="0" w:firstLineChars="0"/>
        <w:jc w:val="left"/>
        <w:rPr>
          <w:rFonts w:hint="eastAsia" w:ascii="宋体" w:hAnsi="宋体" w:eastAsia="宋体" w:cs="Times New Roman"/>
          <w:lang w:eastAsia="zh-CN"/>
        </w:rPr>
      </w:pPr>
      <w:r>
        <w:rPr>
          <w:rFonts w:hint="eastAsia" w:ascii="宋体" w:hAnsi="宋体" w:eastAsia="宋体" w:cs="Times New Roman"/>
        </w:rPr>
        <w:t>持卡人拨打</w:t>
      </w:r>
      <w:r>
        <w:rPr>
          <w:rFonts w:hint="eastAsia" w:ascii="宋体" w:hAnsi="宋体" w:eastAsia="宋体" w:cs="Times New Roman"/>
          <w:lang w:val="zh-TW"/>
        </w:rPr>
        <w:t>保险公司</w:t>
      </w:r>
      <w:r>
        <w:rPr>
          <w:rFonts w:hint="eastAsia" w:ascii="宋体" w:hAnsi="宋体" w:eastAsia="宋体" w:cs="Times New Roman"/>
        </w:rPr>
        <w:t>的合作机构</w:t>
      </w:r>
      <w:r>
        <w:rPr>
          <w:rFonts w:hint="eastAsia" w:ascii="宋体" w:hAnsi="宋体" w:eastAsia="宋体" w:cs="Times New Roman"/>
          <w:lang w:val="zh-TW"/>
        </w:rPr>
        <w:t>深圳永安泰健康管理有限公司</w:t>
      </w:r>
      <w:r>
        <w:rPr>
          <w:rFonts w:hint="eastAsia" w:ascii="宋体" w:hAnsi="宋体" w:eastAsia="宋体" w:cs="Times New Roman"/>
        </w:rPr>
        <w:t>全国统一服务专线</w:t>
      </w:r>
      <w:r>
        <w:rPr>
          <w:rFonts w:hint="eastAsia" w:ascii="宋体" w:hAnsi="宋体" w:eastAsia="宋体" w:cs="Times New Roman"/>
          <w:lang w:val="zh-TW"/>
        </w:rPr>
        <w:t>0755-28261909</w:t>
      </w:r>
      <w:r>
        <w:rPr>
          <w:rFonts w:hint="eastAsia" w:ascii="宋体" w:hAnsi="宋体" w:eastAsia="宋体" w:cs="Times New Roman"/>
        </w:rPr>
        <w:t>或24小时全国统一服务热线</w:t>
      </w:r>
      <w:r>
        <w:rPr>
          <w:rFonts w:hint="eastAsia" w:ascii="宋体" w:hAnsi="宋体" w:eastAsia="宋体" w:cs="Times New Roman"/>
          <w:lang w:val="zh-TW"/>
        </w:rPr>
        <w:t>400</w:t>
      </w:r>
      <w:r>
        <w:rPr>
          <w:rFonts w:hint="eastAsia" w:ascii="宋体" w:hAnsi="宋体" w:eastAsia="宋体" w:cs="Times New Roman"/>
          <w:lang w:val="en-US" w:eastAsia="zh-CN"/>
        </w:rPr>
        <w:t>-</w:t>
      </w:r>
      <w:r>
        <w:rPr>
          <w:rFonts w:hint="eastAsia" w:ascii="宋体" w:hAnsi="宋体" w:eastAsia="宋体" w:cs="Times New Roman"/>
          <w:lang w:val="zh-TW"/>
        </w:rPr>
        <w:t>691</w:t>
      </w:r>
      <w:r>
        <w:rPr>
          <w:rFonts w:hint="eastAsia" w:ascii="宋体" w:hAnsi="宋体" w:eastAsia="宋体" w:cs="Times New Roman"/>
          <w:lang w:val="en-US" w:eastAsia="zh-CN"/>
        </w:rPr>
        <w:t>-</w:t>
      </w:r>
      <w:r>
        <w:rPr>
          <w:rFonts w:hint="eastAsia" w:ascii="宋体" w:hAnsi="宋体" w:eastAsia="宋体" w:cs="Times New Roman"/>
          <w:lang w:val="zh-TW"/>
        </w:rPr>
        <w:t>5159</w:t>
      </w:r>
      <w:r>
        <w:rPr>
          <w:rFonts w:hint="eastAsia" w:ascii="宋体" w:hAnsi="宋体" w:eastAsia="宋体" w:cs="Times New Roman"/>
        </w:rPr>
        <w:t>，进行服务预约申请</w:t>
      </w:r>
      <w:r>
        <w:rPr>
          <w:rFonts w:hint="eastAsia" w:ascii="宋体" w:hAnsi="宋体" w:eastAsia="宋体" w:cs="Times New Roman"/>
          <w:lang w:eastAsia="zh-CN"/>
        </w:rPr>
        <w:t>。</w:t>
      </w:r>
    </w:p>
    <w:p>
      <w:pPr>
        <w:numPr>
          <w:ilvl w:val="0"/>
          <w:numId w:val="5"/>
        </w:numPr>
        <w:jc w:val="left"/>
        <w:rPr>
          <w:rFonts w:ascii="宋体" w:hAnsi="宋体" w:eastAsia="宋体" w:cs="Times New Roman"/>
        </w:rPr>
      </w:pPr>
      <w:r>
        <w:rPr>
          <w:rFonts w:hint="eastAsia" w:ascii="宋体" w:hAnsi="宋体" w:eastAsia="宋体" w:cs="Times New Roman"/>
        </w:rPr>
        <w:t>合作机构客服人员核实持卡人身份；</w:t>
      </w:r>
    </w:p>
    <w:p>
      <w:pPr>
        <w:numPr>
          <w:ilvl w:val="0"/>
          <w:numId w:val="5"/>
        </w:numPr>
        <w:jc w:val="left"/>
        <w:rPr>
          <w:rFonts w:ascii="宋体" w:hAnsi="宋体" w:eastAsia="宋体" w:cs="Times New Roman"/>
        </w:rPr>
      </w:pPr>
      <w:r>
        <w:rPr>
          <w:rFonts w:hint="eastAsia" w:ascii="宋体" w:hAnsi="宋体" w:eastAsia="宋体" w:cs="Times New Roman"/>
        </w:rPr>
        <w:t>身份验证通过后收集持卡人的身份资料及病例资料；</w:t>
      </w:r>
    </w:p>
    <w:p>
      <w:pPr>
        <w:numPr>
          <w:ilvl w:val="0"/>
          <w:numId w:val="5"/>
        </w:numPr>
        <w:jc w:val="left"/>
        <w:rPr>
          <w:rFonts w:ascii="宋体" w:hAnsi="宋体" w:eastAsia="宋体" w:cs="Times New Roman"/>
        </w:rPr>
      </w:pPr>
      <w:r>
        <w:rPr>
          <w:rFonts w:hint="eastAsia" w:ascii="宋体" w:hAnsi="宋体" w:eastAsia="宋体" w:cs="Times New Roman"/>
        </w:rPr>
        <w:t>收到持卡人资料后的1个工作日内，合作机构完成资料审核；</w:t>
      </w:r>
    </w:p>
    <w:p>
      <w:pPr>
        <w:numPr>
          <w:ilvl w:val="0"/>
          <w:numId w:val="5"/>
        </w:numPr>
        <w:jc w:val="left"/>
        <w:rPr>
          <w:rFonts w:ascii="宋体" w:hAnsi="宋体" w:eastAsia="宋体" w:cs="Times New Roman"/>
        </w:rPr>
      </w:pPr>
      <w:r>
        <w:rPr>
          <w:rFonts w:hint="eastAsia" w:ascii="宋体" w:hAnsi="宋体" w:eastAsia="宋体" w:cs="Times New Roman"/>
        </w:rPr>
        <w:t>资料审核通过后的1-2个工作日合作机构为持卡人推荐合适的医院供持卡人选择；</w:t>
      </w:r>
    </w:p>
    <w:p>
      <w:pPr>
        <w:numPr>
          <w:ilvl w:val="0"/>
          <w:numId w:val="5"/>
        </w:numPr>
        <w:jc w:val="left"/>
        <w:rPr>
          <w:rFonts w:ascii="宋体" w:hAnsi="宋体" w:eastAsia="宋体" w:cs="Times New Roman"/>
        </w:rPr>
      </w:pPr>
      <w:r>
        <w:rPr>
          <w:rFonts w:hint="eastAsia" w:ascii="宋体" w:hAnsi="宋体" w:eastAsia="宋体" w:cs="Times New Roman"/>
        </w:rPr>
        <w:t>持卡人选择完成后5个工作日内合作机构为持卡人完成二次诊疗意见服务；</w:t>
      </w:r>
    </w:p>
    <w:p>
      <w:pPr>
        <w:numPr>
          <w:ilvl w:val="0"/>
          <w:numId w:val="5"/>
        </w:numPr>
        <w:jc w:val="left"/>
        <w:rPr>
          <w:rFonts w:ascii="宋体" w:hAnsi="宋体" w:eastAsia="宋体" w:cs="Times New Roman"/>
          <w:lang w:val="zh-TW"/>
        </w:rPr>
      </w:pPr>
      <w:r>
        <w:rPr>
          <w:rFonts w:hint="eastAsia" w:ascii="宋体" w:hAnsi="宋体" w:eastAsia="宋体" w:cs="Times New Roman"/>
        </w:rPr>
        <w:t>据诊疗结果，为持卡人提供报告解读服务。</w:t>
      </w:r>
    </w:p>
    <w:p>
      <w:pPr>
        <w:ind w:firstLine="422" w:firstLineChars="200"/>
        <w:jc w:val="left"/>
        <w:rPr>
          <w:rFonts w:ascii="宋体" w:hAnsi="宋体" w:eastAsia="宋体" w:cs="Times New Roman"/>
          <w:b/>
          <w:bCs/>
        </w:rPr>
      </w:pPr>
      <w:r>
        <w:rPr>
          <w:rFonts w:hint="eastAsia" w:ascii="宋体" w:hAnsi="宋体" w:eastAsia="宋体" w:cs="Times New Roman"/>
          <w:b/>
          <w:bCs/>
        </w:rPr>
        <w:t>（2）服务说明</w:t>
      </w:r>
    </w:p>
    <w:p>
      <w:pPr>
        <w:ind w:firstLine="420" w:firstLineChars="200"/>
        <w:jc w:val="left"/>
        <w:rPr>
          <w:rFonts w:ascii="宋体" w:hAnsi="宋体" w:eastAsia="宋体" w:cs="Times New Roman"/>
        </w:rPr>
      </w:pPr>
      <w:r>
        <w:rPr>
          <w:rFonts w:hint="eastAsia" w:ascii="宋体" w:hAnsi="宋体" w:eastAsia="宋体" w:cs="Times New Roman"/>
        </w:rPr>
        <w:t>本服务提供的任何医学建议仅供参考，中信银行信用卡中心、保险公司、合作机构不承担由此引发的一切后果。</w:t>
      </w:r>
    </w:p>
    <w:p>
      <w:pPr>
        <w:ind w:firstLine="422" w:firstLineChars="200"/>
        <w:rPr>
          <w:rFonts w:hint="eastAsia" w:ascii="宋体" w:hAnsi="宋体" w:eastAsia="宋体" w:cs="Times New Roman"/>
          <w:b/>
          <w:bCs/>
          <w:kern w:val="2"/>
          <w:sz w:val="21"/>
          <w:lang w:eastAsia="zh-CN"/>
        </w:rPr>
      </w:pPr>
      <w:r>
        <w:rPr>
          <w:rFonts w:hint="eastAsia" w:ascii="宋体" w:hAnsi="宋体" w:eastAsia="宋体" w:cs="Times New Roman"/>
          <w:b/>
          <w:bCs/>
          <w:kern w:val="2"/>
          <w:sz w:val="21"/>
          <w:lang w:eastAsia="zh-CN"/>
        </w:rPr>
        <w:t>（</w:t>
      </w:r>
      <w:r>
        <w:rPr>
          <w:rFonts w:hint="eastAsia" w:ascii="宋体" w:hAnsi="宋体" w:eastAsia="宋体" w:cs="Times New Roman"/>
          <w:b/>
          <w:bCs/>
          <w:kern w:val="2"/>
          <w:sz w:val="21"/>
          <w:lang w:val="en-US" w:eastAsia="zh-CN"/>
        </w:rPr>
        <w:t>3</w:t>
      </w:r>
      <w:r>
        <w:rPr>
          <w:rFonts w:hint="eastAsia" w:ascii="宋体" w:hAnsi="宋体" w:eastAsia="宋体" w:cs="Times New Roman"/>
          <w:b/>
          <w:bCs/>
          <w:kern w:val="2"/>
          <w:sz w:val="21"/>
          <w:lang w:eastAsia="zh-CN"/>
        </w:rPr>
        <w:t>）所需资料</w:t>
      </w:r>
    </w:p>
    <w:p>
      <w:pPr>
        <w:pStyle w:val="22"/>
        <w:spacing w:after="0"/>
        <w:ind w:firstLine="420"/>
        <w:rPr>
          <w:lang w:eastAsia="zh-CN"/>
        </w:rPr>
      </w:pPr>
      <w:r>
        <w:rPr>
          <w:rFonts w:hint="eastAsia" w:ascii="宋体" w:hAnsi="宋体"/>
          <w:kern w:val="2"/>
          <w:sz w:val="21"/>
          <w:lang w:eastAsia="zh-CN"/>
        </w:rPr>
        <w:t>持卡人需提供个人身份证明、全国二级及二级以上公立医院的诊断证明，并且诊断证明的确诊时间需要在保险期间内可启动服务；如涉及到取送持卡人证件、检查报告等内容时，由持卡人快递、及承担快递费用（一般情况下可使用电子材料)。</w:t>
      </w:r>
    </w:p>
    <w:p>
      <w:pPr>
        <w:numPr>
          <w:ilvl w:val="-1"/>
          <w:numId w:val="0"/>
        </w:numPr>
        <w:tabs>
          <w:tab w:val="left" w:pos="640"/>
        </w:tabs>
        <w:ind w:left="0" w:firstLine="422" w:firstLineChars="200"/>
        <w:jc w:val="left"/>
        <w:rPr>
          <w:rFonts w:asciiTheme="minorEastAsia" w:hAnsiTheme="minorEastAsia"/>
          <w:b/>
          <w:bCs/>
        </w:rPr>
      </w:pPr>
      <w:r>
        <w:rPr>
          <w:rFonts w:hint="eastAsia"/>
          <w:b/>
          <w:bCs/>
          <w:lang w:val="en-US" w:eastAsia="zh-CN"/>
        </w:rPr>
        <w:t>5.</w:t>
      </w:r>
      <w:r>
        <w:rPr>
          <w:rFonts w:hint="eastAsia" w:asciiTheme="minorEastAsia" w:hAnsiTheme="minorEastAsia"/>
          <w:b/>
          <w:bCs/>
        </w:rPr>
        <w:t>重疾绿色通道服务内容</w:t>
      </w:r>
      <w:r>
        <w:rPr>
          <w:rFonts w:hint="eastAsia" w:asciiTheme="minorEastAsia" w:hAnsiTheme="minorEastAsia"/>
        </w:rPr>
        <w:t>（仅限购买我爱我家D优选增值服务产品持卡人）</w:t>
      </w:r>
    </w:p>
    <w:p>
      <w:pPr>
        <w:tabs>
          <w:tab w:val="left" w:pos="312"/>
          <w:tab w:val="left" w:pos="640"/>
        </w:tabs>
        <w:ind w:firstLine="422" w:firstLineChars="200"/>
        <w:jc w:val="left"/>
        <w:rPr>
          <w:rFonts w:hint="eastAsia" w:asciiTheme="minorEastAsia" w:hAnsiTheme="minorEastAsia" w:cstheme="minorBidi"/>
          <w:b/>
          <w:bCs/>
          <w:sz w:val="21"/>
          <w:szCs w:val="24"/>
          <w:lang w:val="en-US" w:eastAsia="zh-CN"/>
        </w:rPr>
      </w:pPr>
      <w:bookmarkStart w:id="1" w:name="_Hlk122683432"/>
      <w:r>
        <w:rPr>
          <w:rFonts w:hint="eastAsia" w:asciiTheme="minorEastAsia" w:hAnsiTheme="minorEastAsia" w:cstheme="minorBidi"/>
          <w:b/>
          <w:bCs/>
          <w:sz w:val="21"/>
          <w:szCs w:val="24"/>
          <w:lang w:val="en-US" w:eastAsia="zh-CN"/>
        </w:rPr>
        <w:t>在2023年9月30日及之前订购的订单：</w:t>
      </w:r>
    </w:p>
    <w:p>
      <w:pPr>
        <w:tabs>
          <w:tab w:val="left" w:pos="312"/>
          <w:tab w:val="left" w:pos="640"/>
        </w:tabs>
        <w:ind w:firstLine="420" w:firstLineChars="200"/>
        <w:jc w:val="left"/>
        <w:rPr>
          <w:rFonts w:hint="eastAsia" w:asciiTheme="minorEastAsia" w:hAnsiTheme="minorEastAsia"/>
          <w:lang w:val="en-US" w:eastAsia="zh-CN"/>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（详见《重大疾病服务二次诊疗疾病列表》）</w:t>
      </w:r>
      <w:r>
        <w:rPr>
          <w:rFonts w:hint="eastAsia" w:asciiTheme="minorEastAsia" w:hAnsiTheme="minorEastAsia"/>
        </w:rPr>
        <w:t>的持卡人可以拨打保险公司合作机构</w:t>
      </w:r>
      <w:r>
        <w:rPr>
          <w:rFonts w:hint="eastAsia" w:asciiTheme="minorEastAsia" w:hAnsiTheme="minorEastAsia"/>
          <w:lang w:val="en-US" w:eastAsia="zh-CN"/>
        </w:rPr>
        <w:t>服务热线：镁信</w:t>
      </w:r>
      <w:r>
        <w:rPr>
          <w:rFonts w:hint="eastAsia" w:asciiTheme="minorEastAsia" w:hAnsiTheme="minorEastAsia"/>
        </w:rPr>
        <w:t>健康服务热线</w:t>
      </w:r>
      <w:r>
        <w:rPr>
          <w:rFonts w:hint="eastAsia" w:asciiTheme="minorEastAsia" w:hAnsiTheme="minorEastAsia"/>
          <w:highlight w:val="none"/>
          <w:lang w:val="en-US" w:eastAsia="zh-CN"/>
        </w:rPr>
        <w:t>400-050-6770（热线服务时间：9:00-18:00），</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详见《重疾绿通适用医疗机构清单1》</w:t>
      </w:r>
      <w:r>
        <w:rPr>
          <w:rFonts w:hint="eastAsia" w:asciiTheme="minorEastAsia" w:hAnsiTheme="minorEastAsia" w:cstheme="minorBidi"/>
          <w:b w:val="0"/>
          <w:bCs w:val="0"/>
          <w:sz w:val="21"/>
          <w:szCs w:val="24"/>
          <w:shd w:val="clear"/>
          <w:lang w:val="en-US" w:eastAsia="zh-CN"/>
        </w:rPr>
        <w:t>；</w:t>
      </w:r>
    </w:p>
    <w:p>
      <w:pPr>
        <w:tabs>
          <w:tab w:val="left" w:pos="312"/>
          <w:tab w:val="left" w:pos="640"/>
        </w:tabs>
        <w:ind w:firstLine="422" w:firstLineChars="200"/>
        <w:jc w:val="left"/>
        <w:rPr>
          <w:rFonts w:hint="eastAsia" w:ascii="宋体" w:hAnsi="宋体" w:eastAsia="宋体" w:cs="Times New Roman"/>
          <w:b/>
          <w:bCs/>
          <w:lang w:val="zh-TW"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宋体" w:hAnsi="宋体" w:eastAsia="宋体" w:cs="Times New Roman"/>
          <w:b/>
          <w:bCs/>
          <w:lang w:val="zh-TW" w:eastAsia="zh-CN"/>
        </w:rPr>
        <w:t>：</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w:t>
      </w:r>
      <w:r>
        <w:rPr>
          <w:rFonts w:hint="eastAsia" w:asciiTheme="minorEastAsia" w:hAnsiTheme="minorEastAsia"/>
          <w:b/>
          <w:bCs/>
        </w:rPr>
        <w:t>重疾绿通的疾病列表</w:t>
      </w:r>
      <w:r>
        <w:rPr>
          <w:rFonts w:hint="eastAsia" w:asciiTheme="minorEastAsia" w:hAnsiTheme="minorEastAsia" w:eastAsiaTheme="minorEastAsia" w:cstheme="minorBidi"/>
          <w:b/>
          <w:bCs/>
        </w:rPr>
        <w:t>》）</w:t>
      </w:r>
      <w:r>
        <w:rPr>
          <w:rFonts w:hint="eastAsia" w:asciiTheme="minorEastAsia" w:hAnsiTheme="minorEastAsia"/>
        </w:rPr>
        <w:t>的持卡人可以拨打保险公司合作机构</w:t>
      </w:r>
      <w:r>
        <w:rPr>
          <w:rFonts w:hint="eastAsia" w:asciiTheme="minorEastAsia" w:hAnsiTheme="minorEastAsia"/>
          <w:lang w:val="en-US" w:eastAsia="zh-CN"/>
        </w:rPr>
        <w:t>服务热线：深圳</w:t>
      </w:r>
      <w:r>
        <w:rPr>
          <w:rFonts w:hint="eastAsia" w:asciiTheme="minorEastAsia" w:hAnsiTheme="minorEastAsia"/>
          <w:lang w:val="zh-TW"/>
        </w:rPr>
        <w:t>永安泰健康管理有限公司24小时全国统一服务热线400-691-5159</w:t>
      </w:r>
      <w:r>
        <w:rPr>
          <w:rFonts w:hint="eastAsia" w:asciiTheme="minorEastAsia" w:hAnsiTheme="minorEastAsia"/>
          <w:lang w:val="zh-TW" w:eastAsia="zh-CN"/>
        </w:rPr>
        <w:t>；</w:t>
      </w:r>
      <w:r>
        <w:rPr>
          <w:rFonts w:hint="eastAsia" w:asciiTheme="minorEastAsia" w:hAnsiTheme="minorEastAsia"/>
          <w:highlight w:val="none"/>
          <w:lang w:val="en-US" w:eastAsia="zh-CN"/>
        </w:rPr>
        <w:t>，</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w:t>
      </w:r>
      <w:r>
        <w:rPr>
          <w:rFonts w:hint="eastAsia"/>
          <w:b/>
          <w:bCs/>
          <w:lang w:val="en-US" w:eastAsia="zh-CN"/>
        </w:rPr>
        <w:t>2</w:t>
      </w:r>
      <w:r>
        <w:rPr>
          <w:rFonts w:hint="eastAsia" w:asciiTheme="minorEastAsia" w:hAnsiTheme="minorEastAsia" w:cstheme="minorBidi"/>
          <w:b/>
          <w:bCs/>
          <w:sz w:val="21"/>
          <w:szCs w:val="24"/>
          <w:shd w:val="clear"/>
          <w:lang w:val="en-US" w:eastAsia="zh-CN"/>
        </w:rPr>
        <w:t>》</w:t>
      </w:r>
      <w:r>
        <w:rPr>
          <w:rFonts w:hint="eastAsia" w:asciiTheme="minorEastAsia" w:hAnsiTheme="minorEastAsia" w:cstheme="minorBidi"/>
          <w:b w:val="0"/>
          <w:bCs w:val="0"/>
          <w:sz w:val="21"/>
          <w:szCs w:val="24"/>
          <w:shd w:val="clear"/>
          <w:lang w:val="en-US" w:eastAsia="zh-CN"/>
        </w:rPr>
        <w:t>；</w:t>
      </w:r>
      <w:r>
        <w:rPr>
          <w:rFonts w:hint="eastAsia" w:asciiTheme="minorEastAsia" w:hAnsiTheme="minorEastAsia"/>
        </w:rPr>
        <w:t>。</w:t>
      </w:r>
    </w:p>
    <w:p>
      <w:pPr>
        <w:tabs>
          <w:tab w:val="left" w:pos="312"/>
          <w:tab w:val="left" w:pos="640"/>
        </w:tabs>
        <w:ind w:firstLine="420" w:firstLineChars="200"/>
        <w:jc w:val="left"/>
        <w:rPr>
          <w:rFonts w:hint="eastAsia" w:asciiTheme="minorEastAsia" w:hAnsiTheme="minorEastAsia" w:eastAsiaTheme="minorEastAsia"/>
          <w:lang w:eastAsia="zh-CN"/>
        </w:rPr>
      </w:pPr>
      <w:r>
        <w:rPr>
          <w:rFonts w:hint="eastAsia" w:asciiTheme="minorEastAsia" w:hAnsiTheme="minorEastAsia"/>
        </w:rPr>
        <w:t>主要服务包括特</w:t>
      </w:r>
      <w:r>
        <w:rPr>
          <w:rFonts w:hint="eastAsia" w:asciiTheme="minorEastAsia" w:hAnsiTheme="minorEastAsia"/>
          <w:lang w:val="en-US" w:eastAsia="zh-CN"/>
        </w:rPr>
        <w:t>约</w:t>
      </w:r>
      <w:r>
        <w:rPr>
          <w:rFonts w:hint="eastAsia" w:asciiTheme="minorEastAsia" w:hAnsiTheme="minorEastAsia"/>
        </w:rPr>
        <w:t>挂号、特约门诊、预约手术、</w:t>
      </w:r>
      <w:r>
        <w:rPr>
          <w:rFonts w:hint="eastAsia" w:asciiTheme="minorEastAsia" w:hAnsiTheme="minorEastAsia"/>
          <w:highlight w:val="none"/>
          <w:lang w:val="en-US" w:eastAsia="zh-CN"/>
        </w:rPr>
        <w:t>住院床位安排</w:t>
      </w:r>
      <w:r>
        <w:rPr>
          <w:rFonts w:hint="eastAsia" w:asciiTheme="minorEastAsia" w:hAnsiTheme="minorEastAsia"/>
        </w:rPr>
        <w:t>等</w:t>
      </w:r>
      <w:r>
        <w:rPr>
          <w:rFonts w:hint="eastAsia" w:asciiTheme="minorEastAsia" w:hAnsiTheme="minorEastAsia"/>
          <w:lang w:eastAsia="zh-CN"/>
        </w:rPr>
        <w:t>，</w:t>
      </w:r>
      <w:r>
        <w:rPr>
          <w:rFonts w:hint="eastAsia" w:asciiTheme="minorEastAsia" w:hAnsiTheme="minorEastAsia"/>
          <w:b w:val="0"/>
          <w:bCs w:val="0"/>
          <w:highlight w:val="none"/>
          <w:lang w:val="en-US" w:eastAsia="zh-CN"/>
        </w:rPr>
        <w:t>以下服务中仅支持任选一项进行服务，</w:t>
      </w:r>
      <w:r>
        <w:rPr>
          <w:rFonts w:hint="eastAsia" w:asciiTheme="minorEastAsia" w:hAnsiTheme="minorEastAsia"/>
          <w:b w:val="0"/>
          <w:bCs w:val="0"/>
          <w:highlight w:val="none"/>
        </w:rPr>
        <w:t>只提供预约服务，相关医疗费用仍需持卡人自行承担</w:t>
      </w:r>
      <w:r>
        <w:rPr>
          <w:rFonts w:hint="eastAsia" w:asciiTheme="minorEastAsia" w:hAnsiTheme="minorEastAsia"/>
          <w:b w:val="0"/>
          <w:bCs w:val="0"/>
          <w:highlight w:val="none"/>
          <w:lang w:eastAsia="zh-CN"/>
        </w:rPr>
        <w:t>。</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（1）</w:t>
      </w:r>
      <w:r>
        <w:rPr>
          <w:rFonts w:hint="eastAsia" w:asciiTheme="minorEastAsia" w:hAnsiTheme="minorEastAsia"/>
          <w:highlight w:val="none"/>
          <w:lang w:val="en-US" w:eastAsia="zh-CN"/>
        </w:rPr>
        <w:t>特约</w:t>
      </w:r>
      <w:r>
        <w:rPr>
          <w:rFonts w:hint="eastAsia" w:asciiTheme="minorEastAsia" w:hAnsiTheme="minorEastAsia"/>
          <w:highlight w:val="none"/>
        </w:rPr>
        <w:t>挂号</w:t>
      </w:r>
    </w:p>
    <w:p>
      <w:pPr>
        <w:tabs>
          <w:tab w:val="left" w:pos="312"/>
          <w:tab w:val="left" w:pos="640"/>
        </w:tabs>
        <w:ind w:firstLine="420" w:firstLineChars="200"/>
        <w:jc w:val="left"/>
        <w:rPr>
          <w:rFonts w:hint="eastAsia"/>
        </w:rPr>
      </w:pPr>
      <w:r>
        <w:rPr>
          <w:rFonts w:hint="eastAsia"/>
        </w:rPr>
        <w:t>客户因患疑难病症迫切需要就医，根据客户的疾病诊断、既往就诊记录及相关医学检查资料，协助客户预约挂号。</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（2）特约门诊</w:t>
      </w:r>
    </w:p>
    <w:p>
      <w:pPr>
        <w:tabs>
          <w:tab w:val="left" w:pos="312"/>
          <w:tab w:val="left" w:pos="640"/>
        </w:tabs>
        <w:ind w:firstLine="420" w:firstLineChars="200"/>
        <w:jc w:val="left"/>
        <w:rPr>
          <w:rFonts w:hint="eastAsia" w:asciiTheme="minorEastAsia" w:hAnsiTheme="minorEastAsia"/>
          <w:highlight w:val="none"/>
        </w:rPr>
      </w:pPr>
      <w:r>
        <w:rPr>
          <w:rFonts w:hint="eastAsia"/>
        </w:rPr>
        <w:t>客户因患疑难病症迫切需要就医，在医生门诊或非门诊时间内，额外协助客户向医生申请的服务项目。</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（3）预约手术</w:t>
      </w:r>
    </w:p>
    <w:p>
      <w:pPr>
        <w:tabs>
          <w:tab w:val="left" w:pos="312"/>
          <w:tab w:val="left" w:pos="640"/>
        </w:tabs>
        <w:ind w:firstLine="420" w:firstLineChars="200"/>
        <w:jc w:val="left"/>
        <w:rPr>
          <w:rFonts w:hint="eastAsia" w:asciiTheme="minorEastAsia" w:hAnsiTheme="minorEastAsia"/>
          <w:highlight w:val="none"/>
        </w:rPr>
      </w:pPr>
      <w:r>
        <w:rPr>
          <w:rFonts w:hint="eastAsia"/>
        </w:rPr>
        <w:t>为客户匹配适合专家进行手术，提供病情、手术方案、内置器材以及耗材的最佳建议。根据客户的疾病诊断、既往就诊记录及相关医学检查资料，为已获取住院通知单的客户提供手术安排服务。客户须配合提供有效病情资料。</w:t>
      </w:r>
    </w:p>
    <w:p>
      <w:pPr>
        <w:tabs>
          <w:tab w:val="left" w:pos="312"/>
          <w:tab w:val="left" w:pos="640"/>
        </w:tabs>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highlight w:val="none"/>
        </w:rPr>
        <w:t>（4）</w:t>
      </w:r>
      <w:r>
        <w:rPr>
          <w:rFonts w:hint="eastAsia" w:asciiTheme="minorEastAsia" w:hAnsiTheme="minorEastAsia"/>
          <w:highlight w:val="none"/>
          <w:lang w:val="en-US" w:eastAsia="zh-CN"/>
        </w:rPr>
        <w:t>住院床位安排</w:t>
      </w:r>
    </w:p>
    <w:p>
      <w:pPr>
        <w:tabs>
          <w:tab w:val="left" w:pos="312"/>
          <w:tab w:val="left" w:pos="640"/>
        </w:tabs>
        <w:ind w:firstLine="420" w:firstLineChars="200"/>
        <w:jc w:val="left"/>
        <w:rPr>
          <w:rFonts w:hint="eastAsia" w:asciiTheme="minorEastAsia" w:hAnsiTheme="minorEastAsia"/>
          <w:highlight w:val="none"/>
        </w:rPr>
      </w:pPr>
      <w:r>
        <w:rPr>
          <w:rFonts w:hint="eastAsia"/>
        </w:rPr>
        <w:t>根据客户的疾病诊断、既往就诊记录及相关医学检查资料，为已获取住院通知单的客户提前安排入院，使客户能尽早获得所需的住院治疗。客户须配合提供有效病情资料。</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（5）专家</w:t>
      </w:r>
      <w:r>
        <w:rPr>
          <w:rFonts w:hint="eastAsia" w:asciiTheme="minorEastAsia" w:hAnsiTheme="minorEastAsia"/>
          <w:highlight w:val="none"/>
          <w:lang w:val="en-US" w:eastAsia="zh-CN"/>
        </w:rPr>
        <w:t>门诊</w:t>
      </w:r>
      <w:r>
        <w:rPr>
          <w:rFonts w:hint="eastAsia" w:asciiTheme="minorEastAsia" w:hAnsiTheme="minorEastAsia"/>
          <w:highlight w:val="none"/>
        </w:rPr>
        <w:t>预约服务</w:t>
      </w:r>
    </w:p>
    <w:p>
      <w:pPr>
        <w:tabs>
          <w:tab w:val="left" w:pos="312"/>
          <w:tab w:val="left" w:pos="640"/>
        </w:tabs>
        <w:ind w:firstLine="420" w:firstLineChars="200"/>
        <w:jc w:val="left"/>
        <w:rPr>
          <w:rFonts w:hint="eastAsia"/>
        </w:rPr>
      </w:pPr>
      <w:r>
        <w:rPr>
          <w:rFonts w:hint="eastAsia"/>
        </w:rPr>
        <w:t>客户因患疑难病症需要就诊专家时，根据客户的疾病诊断、既往就诊记录及相关医学检查资料，为其甄选符合条件的专家（三级甲等医院副主任以上医师），并预约该专家的门诊。如客户指定医院时，优先为其安排指定的医院，当指定医院的资源紧缺时，将视病情与客户协商安排其他符合条件的同等医院。</w:t>
      </w:r>
    </w:p>
    <w:p>
      <w:pPr>
        <w:numPr>
          <w:ilvl w:val="-1"/>
          <w:numId w:val="0"/>
        </w:numPr>
        <w:tabs>
          <w:tab w:val="left" w:pos="312"/>
          <w:tab w:val="left" w:pos="640"/>
        </w:tabs>
        <w:ind w:firstLine="420" w:firstLineChars="200"/>
        <w:jc w:val="left"/>
        <w:rPr>
          <w:rFonts w:hint="default"/>
          <w:lang w:val="en-US" w:eastAsia="zh-CN"/>
        </w:rPr>
      </w:pPr>
      <w:r>
        <w:rPr>
          <w:rFonts w:hint="eastAsia"/>
          <w:lang w:val="en-US" w:eastAsia="zh-CN"/>
        </w:rPr>
        <w:t>使用流程：</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highlight w:val="none"/>
          <w:lang w:val="en-US" w:eastAsia="zh-CN"/>
        </w:rPr>
        <w:t>拨打</w:t>
      </w:r>
      <w:r>
        <w:rPr>
          <w:rFonts w:hint="eastAsia" w:asciiTheme="minorEastAsia" w:hAnsiTheme="minorEastAsia" w:cstheme="minorBidi"/>
          <w:b w:val="0"/>
          <w:bCs w:val="0"/>
          <w:sz w:val="21"/>
          <w:szCs w:val="24"/>
          <w:highlight w:val="none"/>
          <w:lang w:val="en-US" w:eastAsia="zh-CN"/>
        </w:rPr>
        <w:t>上述</w:t>
      </w:r>
      <w:r>
        <w:rPr>
          <w:rFonts w:hint="eastAsia" w:asciiTheme="minorEastAsia" w:hAnsiTheme="minorEastAsia" w:eastAsiaTheme="minorEastAsia" w:cstheme="minorBidi"/>
          <w:b w:val="0"/>
          <w:bCs w:val="0"/>
          <w:sz w:val="21"/>
          <w:szCs w:val="24"/>
          <w:highlight w:val="none"/>
          <w:lang w:val="en-US" w:eastAsia="zh-CN"/>
        </w:rPr>
        <w:t>服务电话</w:t>
      </w:r>
      <w:r>
        <w:rPr>
          <w:rFonts w:hint="eastAsia" w:asciiTheme="minorEastAsia" w:hAnsiTheme="minorEastAsia" w:eastAsiaTheme="minorEastAsia" w:cstheme="minorBidi"/>
          <w:b w:val="0"/>
          <w:bCs w:val="0"/>
          <w:sz w:val="21"/>
          <w:szCs w:val="24"/>
          <w:highlight w:val="none"/>
          <w:shd w:val="clear"/>
          <w:lang w:val="en-US" w:eastAsia="zh-CN"/>
        </w:rPr>
        <w:t>进行申请；</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告知客服您需要申请重疾绿通服务，</w:t>
      </w:r>
      <w:r>
        <w:rPr>
          <w:rFonts w:hint="eastAsia" w:asciiTheme="minorEastAsia" w:hAnsiTheme="minorEastAsia" w:cstheme="minorBidi"/>
          <w:b w:val="0"/>
          <w:bCs w:val="0"/>
          <w:sz w:val="21"/>
          <w:szCs w:val="24"/>
          <w:highlight w:val="none"/>
          <w:shd w:val="clear"/>
          <w:lang w:val="en-US" w:eastAsia="zh-CN"/>
        </w:rPr>
        <w:t>客服核实相关信息后，您需</w:t>
      </w:r>
      <w:r>
        <w:rPr>
          <w:rFonts w:hint="eastAsia" w:asciiTheme="minorEastAsia" w:hAnsiTheme="minorEastAsia" w:eastAsiaTheme="minorEastAsia" w:cstheme="minorBidi"/>
          <w:b w:val="0"/>
          <w:bCs w:val="0"/>
          <w:sz w:val="21"/>
          <w:szCs w:val="24"/>
          <w:highlight w:val="none"/>
          <w:shd w:val="clear"/>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sz w:val="21"/>
          <w:szCs w:val="24"/>
          <w:highlight w:val="none"/>
          <w:shd w:val="clear"/>
          <w:lang w:val="en-US" w:eastAsia="zh-CN"/>
        </w:rPr>
        <w:t>、</w:t>
      </w:r>
      <w:r>
        <w:rPr>
          <w:rFonts w:hint="eastAsia" w:asciiTheme="minorEastAsia" w:hAnsiTheme="minorEastAsia" w:eastAsiaTheme="minorEastAsia" w:cstheme="minorBidi"/>
          <w:b w:val="0"/>
          <w:bCs w:val="0"/>
          <w:kern w:val="2"/>
          <w:sz w:val="21"/>
          <w:szCs w:val="24"/>
          <w:highlight w:val="none"/>
        </w:rPr>
        <w:t>姓名、身份证号码、电话号码、保单号</w:t>
      </w:r>
      <w:r>
        <w:rPr>
          <w:rFonts w:hint="eastAsia" w:asciiTheme="minorEastAsia" w:hAnsiTheme="minorEastAsia" w:eastAsiaTheme="minorEastAsia" w:cstheme="minorBidi"/>
          <w:b w:val="0"/>
          <w:bCs w:val="0"/>
          <w:kern w:val="2"/>
          <w:sz w:val="21"/>
          <w:szCs w:val="24"/>
          <w:highlight w:val="none"/>
          <w:lang w:val="en-US" w:eastAsia="zh-CN"/>
        </w:rPr>
        <w:t>和具体绿通需求（挂号、门诊、手术、住院）</w:t>
      </w:r>
      <w:r>
        <w:rPr>
          <w:rFonts w:hint="eastAsia" w:asciiTheme="minorEastAsia" w:hAnsiTheme="minorEastAsia" w:eastAsiaTheme="minorEastAsia" w:cstheme="minorBidi"/>
          <w:b w:val="0"/>
          <w:bCs w:val="0"/>
          <w:kern w:val="2"/>
          <w:sz w:val="21"/>
          <w:szCs w:val="24"/>
          <w:highlight w:val="none"/>
          <w:lang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专属人员接到需求将通过微信联系您，进行您的需求确认及材料查漏补缺；</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资料集齐后1个工作日内向您反馈预约情况，并向您确认是否启动服务；</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5</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确认启动服务后，会与您保持沟通，并在就诊前同步诊前注意事项；</w:t>
      </w:r>
    </w:p>
    <w:p>
      <w:pPr>
        <w:widowControl/>
        <w:numPr>
          <w:ilvl w:val="0"/>
          <w:numId w:val="0"/>
        </w:numPr>
        <w:tabs>
          <w:tab w:val="left" w:pos="312"/>
          <w:tab w:val="left" w:pos="640"/>
        </w:tabs>
        <w:ind w:left="420" w:leftChars="200" w:firstLine="0" w:firstLineChars="0"/>
        <w:jc w:val="left"/>
        <w:rPr>
          <w:rFonts w:hint="eastAsia"/>
        </w:rPr>
      </w:pPr>
      <w:r>
        <w:rPr>
          <w:rFonts w:hint="eastAsia" w:asciiTheme="minorEastAsia" w:hAnsiTheme="minorEastAsia"/>
          <w:highlight w:val="none"/>
        </w:rPr>
        <w:t>（</w:t>
      </w:r>
      <w:r>
        <w:rPr>
          <w:rFonts w:hint="eastAsia" w:asciiTheme="minorEastAsia" w:hAnsiTheme="minorEastAsia"/>
          <w:highlight w:val="none"/>
          <w:lang w:val="en-US" w:eastAsia="zh-CN"/>
        </w:rPr>
        <w:t>6</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就诊当天，专属人员完成与您的服务确认，结束服务。</w:t>
      </w:r>
    </w:p>
    <w:bookmarkEnd w:id="1"/>
    <w:p>
      <w:pPr>
        <w:numPr>
          <w:ilvl w:val="0"/>
          <w:numId w:val="3"/>
        </w:numPr>
        <w:tabs>
          <w:tab w:val="left" w:pos="640"/>
        </w:tabs>
        <w:jc w:val="left"/>
        <w:rPr>
          <w:rFonts w:asciiTheme="minorEastAsia" w:hAnsiTheme="minorEastAsia"/>
          <w:b/>
          <w:bCs/>
        </w:rPr>
      </w:pPr>
      <w:r>
        <w:rPr>
          <w:rFonts w:hint="eastAsia" w:asciiTheme="minorEastAsia" w:hAnsiTheme="minorEastAsia"/>
          <w:b/>
          <w:bCs/>
        </w:rPr>
        <w:t>家庭综合意外伤害保险服务内容(附赠保险权益)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该保险服务为中信银行信用卡中心赠送给主持卡人的保险权益。投保人为中信银行信用卡中心、被保险人为订购“我爱我家</w:t>
      </w:r>
      <w:r>
        <w:rPr>
          <w:rFonts w:asciiTheme="minorEastAsia" w:hAnsiTheme="minorEastAsia"/>
          <w:b/>
          <w:bCs/>
        </w:rPr>
        <w:t>C/D</w:t>
      </w:r>
      <w:r>
        <w:rPr>
          <w:rFonts w:hint="eastAsia" w:asciiTheme="minorEastAsia" w:hAnsiTheme="minorEastAsia"/>
          <w:b/>
          <w:bCs/>
        </w:rPr>
        <w:t>”优选增值服务产品且保险权益已生效的持卡人本人及其家庭成员（配偶、子女），由于附赠保险含有死亡保险责任，请确认您已就投保事项及保险金额征得了其他被保险人的同意及认可（未成年子女需取得其监护人的同意及认可）。</w:t>
      </w:r>
    </w:p>
    <w:p>
      <w:pPr>
        <w:tabs>
          <w:tab w:val="left" w:pos="312"/>
          <w:tab w:val="left" w:pos="640"/>
        </w:tabs>
        <w:ind w:firstLine="422" w:firstLineChars="200"/>
        <w:jc w:val="left"/>
        <w:rPr>
          <w:rFonts w:asciiTheme="minorEastAsia" w:hAnsiTheme="minorEastAsia"/>
          <w:b/>
          <w:bCs/>
        </w:rPr>
      </w:pPr>
      <w:r>
        <w:rPr>
          <w:rFonts w:hint="eastAsia" w:cs="Calibri"/>
          <w:b/>
          <w:bCs/>
          <w:szCs w:val="21"/>
          <w:shd w:val="clear" w:color="auto" w:fill="FFFFFF"/>
        </w:rPr>
        <w:t>中信银行信用卡中心将通过如下方式取得持卡人其他家庭成员（不含未成年子女）同意及认可：附赠持卡人其他家庭成员（不含未成年子女）的保险权益须由作为被保险人的其他家庭成员本人通过持卡人所转发的链接予以确认</w:t>
      </w:r>
      <w:r>
        <w:rPr>
          <w:rFonts w:hint="eastAsia" w:ascii="Calibri" w:hAnsi="Calibri" w:cs="Calibri"/>
          <w:b/>
          <w:bCs/>
          <w:szCs w:val="21"/>
          <w:shd w:val="clear" w:color="auto" w:fill="FFFFFF"/>
        </w:rPr>
        <w:t>+</w:t>
      </w:r>
      <w:r>
        <w:rPr>
          <w:rFonts w:hint="eastAsia" w:cs="Calibri"/>
          <w:b/>
          <w:bCs/>
          <w:szCs w:val="21"/>
          <w:shd w:val="clear" w:color="auto" w:fill="FFFFFF"/>
        </w:rPr>
        <w:t>短信验证方式明确同意后方能生效。由持卡人转发至其家庭成员（不含未成年子女），家庭成员通过点击链接</w:t>
      </w:r>
      <w:r>
        <w:rPr>
          <w:rFonts w:hint="eastAsia" w:ascii="Calibri" w:hAnsi="Calibri" w:cs="Calibri"/>
          <w:b/>
          <w:bCs/>
          <w:szCs w:val="21"/>
          <w:shd w:val="clear" w:color="auto" w:fill="FFFFFF"/>
        </w:rPr>
        <w:t>/</w:t>
      </w:r>
      <w:r>
        <w:rPr>
          <w:rFonts w:hint="eastAsia" w:cs="Calibri"/>
          <w:b/>
          <w:bCs/>
          <w:szCs w:val="21"/>
          <w:shd w:val="clear" w:color="auto" w:fill="FFFFFF"/>
        </w:rPr>
        <w:t>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本保险服务承保公司为太平财产保险有限公司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。该保险合同为团体保险合同，持卡人可致电太平财产保险有限公司客服热线</w:t>
      </w:r>
      <w:r>
        <w:rPr>
          <w:rFonts w:asciiTheme="minorEastAsia" w:hAnsiTheme="minorEastAsia"/>
          <w:b/>
          <w:bCs/>
        </w:rPr>
        <w:t>95589</w:t>
      </w:r>
      <w:r>
        <w:rPr>
          <w:rFonts w:hint="eastAsia" w:asciiTheme="minorEastAsia" w:hAnsiTheme="minorEastAsia"/>
          <w:b/>
          <w:bCs/>
          <w:lang w:val="en-US" w:eastAsia="zh-CN"/>
        </w:rPr>
        <w:t>或国任财产保险股份有限公司客服热线956030/微信小程序搜索“国任保险”</w:t>
      </w:r>
      <w:r>
        <w:rPr>
          <w:rFonts w:hint="eastAsia" w:asciiTheme="minorEastAsia" w:hAnsiTheme="minorEastAsia"/>
          <w:b/>
          <w:bCs/>
        </w:rPr>
        <w:t>查询或申请保险凭证。</w:t>
      </w:r>
    </w:p>
    <w:p>
      <w:pPr>
        <w:numPr>
          <w:ilvl w:val="0"/>
          <w:numId w:val="6"/>
        </w:numPr>
        <w:tabs>
          <w:tab w:val="left" w:pos="640"/>
        </w:tabs>
        <w:ind w:left="420"/>
        <w:jc w:val="left"/>
        <w:rPr>
          <w:rFonts w:asciiTheme="minorEastAsia" w:hAnsiTheme="minorEastAsia"/>
        </w:rPr>
      </w:pPr>
      <w:r>
        <w:rPr>
          <w:rFonts w:hint="eastAsia" w:asciiTheme="minorEastAsia" w:hAnsiTheme="minorEastAsia"/>
        </w:rPr>
        <w:t>保障金额</w:t>
      </w:r>
    </w:p>
    <w:p>
      <w:pPr>
        <w:ind w:firstLine="420" w:firstLineChars="200"/>
        <w:rPr>
          <w:rFonts w:asciiTheme="minorEastAsia" w:hAnsiTheme="minorEastAsia"/>
        </w:rPr>
      </w:pPr>
      <w:r>
        <w:rPr>
          <w:rFonts w:hint="eastAsia" w:asciiTheme="minorEastAsia" w:hAnsiTheme="minorEastAsia"/>
        </w:rPr>
        <w:t>每一信用卡持卡人账户保险期间的赔偿限额如下：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我爱我家C</w:t>
            </w:r>
            <w:r>
              <w:rPr>
                <w:rFonts w:asciiTheme="minorEastAsia" w:hAnsiTheme="minorEastAsia"/>
              </w:rPr>
              <w:t>/D</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hint="eastAsia" w:asciiTheme="minorEastAsia" w:hAnsiTheme="minorEastAsia"/>
              </w:rPr>
              <w:t>共享</w:t>
            </w:r>
            <w:r>
              <w:rPr>
                <w:rFonts w:asciiTheme="minorEastAsia" w:hAnsiTheme="minorEastAsia"/>
              </w:rPr>
              <w:t>10</w:t>
            </w:r>
            <w:r>
              <w:rPr>
                <w:rFonts w:hint="eastAsia" w:asciiTheme="minorEastAsia" w:hAnsiTheme="minorEastAsia"/>
              </w:rPr>
              <w:t>万元保额（人民币）</w:t>
            </w:r>
          </w:p>
        </w:tc>
      </w:tr>
    </w:tbl>
    <w:p>
      <w:pPr>
        <w:numPr>
          <w:ilvl w:val="0"/>
          <w:numId w:val="6"/>
        </w:numPr>
        <w:tabs>
          <w:tab w:val="left" w:pos="640"/>
        </w:tabs>
        <w:ind w:left="420"/>
        <w:jc w:val="left"/>
        <w:rPr>
          <w:rFonts w:asciiTheme="minorEastAsia" w:hAnsiTheme="minorEastAsia"/>
        </w:rPr>
      </w:pPr>
      <w:r>
        <w:rPr>
          <w:rFonts w:hint="eastAsia" w:asciiTheme="minorEastAsia" w:hAnsiTheme="minorEastAsia"/>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购买了“我爱我家C</w:t>
      </w:r>
      <w:r>
        <w:rPr>
          <w:rFonts w:asciiTheme="minorEastAsia" w:hAnsiTheme="minorEastAsia"/>
        </w:rPr>
        <w:t>/</w:t>
      </w:r>
      <w:r>
        <w:rPr>
          <w:rFonts w:hint="eastAsia" w:asciiTheme="minorEastAsia" w:hAnsiTheme="minorEastAsia"/>
        </w:rPr>
        <w:t>D” 优选增值服务产品的持卡人，在保险期间内，本人或其配偶或其子女遭受意外伤害，并因该意外伤害导致身故、残疾的，保险公司依照下列约定给付保险金，且给付各项保险金之和不超过该被保险人的保险金额。</w:t>
      </w:r>
    </w:p>
    <w:p>
      <w:pPr>
        <w:tabs>
          <w:tab w:val="left" w:pos="640"/>
        </w:tabs>
        <w:ind w:firstLine="420" w:firstLineChars="200"/>
        <w:jc w:val="left"/>
        <w:rPr>
          <w:rFonts w:asciiTheme="minorEastAsia" w:hAnsiTheme="minorEastAsia"/>
        </w:rPr>
      </w:pPr>
      <w:r>
        <w:rPr>
          <w:rFonts w:hint="eastAsia" w:asciiTheme="minorEastAsia" w:hAnsiTheme="minorEastAsia"/>
        </w:rPr>
        <w:t>1）购买了“我爱我家C</w:t>
      </w:r>
      <w:r>
        <w:rPr>
          <w:rFonts w:asciiTheme="minorEastAsia" w:hAnsiTheme="minorEastAsia"/>
        </w:rPr>
        <w:t>/</w:t>
      </w:r>
      <w:r>
        <w:rPr>
          <w:rFonts w:hint="eastAsia" w:asciiTheme="minorEastAsia" w:hAnsiTheme="minorEastAsia"/>
        </w:rPr>
        <w:t>D” 优选增值服务产品的持卡人本人或其配偶或其子女，在保险期间内遭受意外伤害事故，并自该事故发生之日起180日内（含第180日）因该事故身故的，保险公司按保险金额给付身故保险金，给付身故保险金后对该被保险人的保险责任终止。被保险人因遭受意外伤害事故且自该事故发生日起下落不明，后经人民法院宣告死亡的，保险公司按意外伤害保险金额给付身故保险金。但若被保险人被宣告死亡后生还的，保险金受领人应于知道或应当知道被保险人生还后30日内退还保险公司给付的身故保险金。在保险一年有效期内，被保险人身故前保险公司按照伤残等级标准的约定给付了伤残保险金的，身故保险金应扣除已给付的伤残保险金。</w:t>
      </w:r>
    </w:p>
    <w:p>
      <w:pPr>
        <w:tabs>
          <w:tab w:val="left" w:pos="640"/>
        </w:tabs>
        <w:ind w:firstLine="420" w:firstLineChars="200"/>
        <w:jc w:val="left"/>
        <w:rPr>
          <w:rFonts w:asciiTheme="minorEastAsia" w:hAnsiTheme="minorEastAsia"/>
        </w:rPr>
      </w:pPr>
      <w:r>
        <w:rPr>
          <w:rFonts w:hint="eastAsia" w:asciiTheme="minorEastAsia" w:hAnsiTheme="minorEastAsia"/>
        </w:rPr>
        <w:t>2）购买了“我爱我家C</w:t>
      </w:r>
      <w:r>
        <w:rPr>
          <w:rFonts w:asciiTheme="minorEastAsia" w:hAnsiTheme="minorEastAsia"/>
        </w:rPr>
        <w:t>/</w:t>
      </w:r>
      <w:r>
        <w:rPr>
          <w:rFonts w:hint="eastAsia" w:asciiTheme="minorEastAsia" w:hAnsiTheme="minorEastAsia"/>
        </w:rPr>
        <w:t>D” 优选增值服务产品的持卡人本人或其配偶或其子女，保险期间内遭受意外伤害事故，并自该事故发生之日起180日内（含第180日）因该事故造成</w:t>
      </w:r>
      <w:r>
        <w:rPr>
          <w:rFonts w:hint="eastAsia" w:asciiTheme="minorEastAsia" w:hAnsiTheme="minorEastAsia"/>
          <w:b/>
          <w:bCs/>
        </w:rPr>
        <w:t>《人身保险伤残评定标准（行业标准）》</w:t>
      </w:r>
      <w:r>
        <w:rPr>
          <w:rFonts w:hint="eastAsia" w:asciiTheme="minorEastAsia" w:hAnsiTheme="minorEastAsia"/>
        </w:rPr>
        <w:t>（中保协发【2013】88号）所列伤残的，保险公司根据伤残评定结果所确定的给付比例乘以意外伤害保险金额给付伤残保险金。如第180日治疗仍未结束的，按被保险人当日的身体情况进行伤残鉴定，并据此按前述计算方式给付伤残保险金。本次意外伤害事故之前被保险人的已有伤残，应在鉴定时予以剔除。伤残的评定原则如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确定伤残类别：评定伤残时，应根据人体的身体结构与功能损伤情况确定所涉及的伤残类别。</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确定伤残等级：应根据伤残情况，在同类别伤残下，确定伤残等级。</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确定保险金给付比例：应根据伤残等级对应的百分比，确定保险金给付比例。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numPr>
          <w:ilvl w:val="0"/>
          <w:numId w:val="6"/>
        </w:numPr>
        <w:tabs>
          <w:tab w:val="left" w:pos="640"/>
        </w:tabs>
        <w:ind w:left="420"/>
        <w:jc w:val="left"/>
        <w:rPr>
          <w:rFonts w:asciiTheme="minorEastAsia" w:hAnsiTheme="minorEastAsia"/>
        </w:rPr>
      </w:pPr>
      <w:r>
        <w:rPr>
          <w:rFonts w:hint="eastAsia" w:asciiTheme="minorEastAsia" w:hAnsiTheme="minorEastAsia"/>
        </w:rPr>
        <w:t>受益人</w:t>
      </w:r>
    </w:p>
    <w:p>
      <w:pPr>
        <w:tabs>
          <w:tab w:val="left" w:pos="640"/>
        </w:tabs>
        <w:ind w:firstLine="420" w:firstLineChars="200"/>
        <w:jc w:val="left"/>
        <w:rPr>
          <w:rFonts w:asciiTheme="minorEastAsia" w:hAnsiTheme="minorEastAsia"/>
        </w:rPr>
      </w:pPr>
      <w:r>
        <w:rPr>
          <w:rFonts w:hint="eastAsia" w:asciiTheme="minorEastAsia" w:hAnsiTheme="minorEastAsia"/>
        </w:rPr>
        <w:t>受益人为被保险人本人。</w:t>
      </w:r>
    </w:p>
    <w:p>
      <w:pPr>
        <w:numPr>
          <w:ilvl w:val="0"/>
          <w:numId w:val="6"/>
        </w:numPr>
        <w:tabs>
          <w:tab w:val="left" w:pos="640"/>
        </w:tabs>
        <w:ind w:left="420"/>
        <w:jc w:val="left"/>
        <w:rPr>
          <w:rFonts w:asciiTheme="minorEastAsia" w:hAnsiTheme="minorEastAsia"/>
        </w:rPr>
      </w:pPr>
      <w:r>
        <w:rPr>
          <w:rFonts w:hint="eastAsia" w:asciiTheme="minorEastAsia" w:hAnsiTheme="minorEastAsia"/>
        </w:rPr>
        <w:t>保险条款</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《太平财产保险有限公司团体人身意外伤害保险（A版）条款》注册号【</w:t>
      </w:r>
      <w:r>
        <w:rPr>
          <w:rFonts w:asciiTheme="minorEastAsia" w:hAnsiTheme="minorEastAsia"/>
        </w:rPr>
        <w:t>C00002632312022051385521</w:t>
      </w:r>
      <w:r>
        <w:rPr>
          <w:rFonts w:hint="eastAsia" w:asciiTheme="minorEastAsia" w:hAnsiTheme="minorEastAsia"/>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《太平财产保险有限公司附加超龄人员扩展条款（2011版）》注册号【</w:t>
      </w:r>
      <w:r>
        <w:rPr>
          <w:rFonts w:asciiTheme="minorEastAsia" w:hAnsiTheme="minorEastAsia"/>
        </w:rPr>
        <w:t>H00002632322017052347511</w:t>
      </w:r>
      <w:r>
        <w:rPr>
          <w:rFonts w:hint="eastAsia" w:asciiTheme="minorEastAsia" w:hAnsiTheme="minorEastAsia"/>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tabs>
          <w:tab w:val="left" w:pos="640"/>
        </w:tabs>
        <w:ind w:firstLine="420" w:firstLineChars="200"/>
        <w:jc w:val="left"/>
        <w:rPr>
          <w:rFonts w:hint="eastAsia" w:asciiTheme="minorEastAsia" w:hAnsiTheme="minorEastAsia"/>
          <w:b w:val="0"/>
          <w:bCs w:val="0"/>
          <w:lang w:val="en-US" w:eastAsia="zh-CN"/>
        </w:rPr>
      </w:pPr>
      <w:r>
        <w:rPr>
          <w:rFonts w:hint="eastAsia" w:asciiTheme="minorEastAsia" w:hAnsiTheme="minorEastAsia"/>
          <w:b w:val="0"/>
          <w:bCs w:val="0"/>
          <w:lang w:val="en-US" w:eastAsia="zh-CN"/>
        </w:rPr>
        <w:t>《国任财产保险股份有限公司团体意外伤害保险（2022版）条款》</w:t>
      </w:r>
      <w:r>
        <w:rPr>
          <w:rFonts w:hint="eastAsia" w:asciiTheme="minorEastAsia" w:hAnsiTheme="minorEastAsia"/>
        </w:rPr>
        <w:t>注册号【</w:t>
      </w:r>
      <w:r>
        <w:rPr>
          <w:rFonts w:hint="eastAsia" w:asciiTheme="minorEastAsia" w:hAnsiTheme="minorEastAsia"/>
          <w:lang w:val="en-US" w:eastAsia="zh-CN"/>
        </w:rPr>
        <w:t>C00014232312022062811541</w:t>
      </w:r>
      <w:r>
        <w:rPr>
          <w:rFonts w:hint="eastAsia" w:asciiTheme="minorEastAsia" w:hAnsiTheme="minorEastAsia"/>
        </w:rPr>
        <w:t>】</w:t>
      </w:r>
    </w:p>
    <w:p>
      <w:pPr>
        <w:numPr>
          <w:ilvl w:val="0"/>
          <w:numId w:val="6"/>
        </w:numPr>
        <w:tabs>
          <w:tab w:val="left" w:pos="640"/>
        </w:tabs>
        <w:ind w:left="0" w:firstLine="422" w:firstLineChars="200"/>
        <w:jc w:val="left"/>
        <w:rPr>
          <w:rFonts w:asciiTheme="minorEastAsia" w:hAnsiTheme="minorEastAsia"/>
          <w:b/>
          <w:bCs/>
        </w:rPr>
      </w:pPr>
      <w:r>
        <w:rPr>
          <w:rFonts w:hint="eastAsia" w:asciiTheme="minorEastAsia" w:hAnsiTheme="minorEastAsia"/>
          <w:b/>
          <w:bCs/>
        </w:rPr>
        <w:t>附赠保险权益责任免除及投保声明</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asciiTheme="minorEastAsia" w:hAnsiTheme="minorEastAsia"/>
          <w:b/>
          <w:bCs/>
        </w:rPr>
      </w:pPr>
      <w:r>
        <w:rPr>
          <w:rFonts w:hint="eastAsia" w:asciiTheme="minorEastAsia" w:hAnsiTheme="minorEastAsia"/>
          <w:b/>
          <w:bCs/>
        </w:rPr>
        <w:t>因下列原因造成被保险人身故或伤残的，保险公司不承担给付保险金责任：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投保人的故意行为；</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恐怖袭击。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w:t>
      </w:r>
      <w:r>
        <w:rPr>
          <w:rFonts w:asciiTheme="minorEastAsia" w:hAnsiTheme="minorEastAsia"/>
          <w:b/>
          <w:bCs/>
        </w:rPr>
        <w:t>ICD-10）》为准）期间；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被保险人作为军人</w:t>
      </w:r>
      <w:r>
        <w:rPr>
          <w:rFonts w:asciiTheme="minorEastAsia" w:hAnsiTheme="minorEastAsia"/>
          <w:b/>
          <w:bCs/>
        </w:rPr>
        <w:t>(含特种兵)、警务人员(含防暴警察)在训练或执行公务期间；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被保险人从事或参与恐怖主义活动、邪教组织活动期间。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被保险人患艾滋病（</w:t>
      </w:r>
      <w:r>
        <w:rPr>
          <w:rFonts w:asciiTheme="minorEastAsia" w:hAnsiTheme="minorEastAsia"/>
          <w:b/>
          <w:bCs/>
        </w:rPr>
        <w:t>AIDS）或感染艾滋病毒（HIV呈阳性）期间。</w:t>
      </w:r>
    </w:p>
    <w:p>
      <w:pPr>
        <w:pStyle w:val="18"/>
        <w:numPr>
          <w:ilvl w:val="-1"/>
          <w:numId w:val="0"/>
        </w:numPr>
        <w:tabs>
          <w:tab w:val="left" w:pos="640"/>
        </w:tabs>
        <w:ind w:left="640" w:firstLine="0" w:firstLineChars="0"/>
        <w:jc w:val="left"/>
        <w:rPr>
          <w:rFonts w:asciiTheme="minorEastAsia" w:hAnsiTheme="minorEastAsia"/>
          <w:b/>
          <w:bCs/>
        </w:rPr>
      </w:pPr>
    </w:p>
    <w:p>
      <w:pPr>
        <w:pStyle w:val="18"/>
        <w:numPr>
          <w:ilvl w:val="-1"/>
          <w:numId w:val="0"/>
        </w:numPr>
        <w:tabs>
          <w:tab w:val="left" w:pos="640"/>
        </w:tabs>
        <w:ind w:left="0" w:leftChars="0" w:firstLine="632" w:firstLineChars="300"/>
        <w:jc w:val="left"/>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p>
    <w:p>
      <w:pPr>
        <w:pStyle w:val="18"/>
        <w:numPr>
          <w:ilvl w:val="-1"/>
          <w:numId w:val="0"/>
        </w:numPr>
        <w:tabs>
          <w:tab w:val="left" w:pos="640"/>
        </w:tabs>
        <w:ind w:left="640" w:firstLine="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因下列原因造成被保险人身故、伤残的，保险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不承担给付保险金责任：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投保人的故意行为；</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被保险人自残伤害或自杀，但被保险人自杀时为无民事行为能力人的除外；</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因被保险人挑衅或故意行为而导致的打斗、被袭击或被谋杀；</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被保险人妊娠、流产、分娩、药物过敏；</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被保险人接受整容手术或其它内、外科手术；</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被保险人未遵医嘱，私自服用、涂用、注射药物；</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被保险人从事潜水、跳伞、攀岩运动、探险活动、武术比赛、摔跤比赛、特技表演、赛马、赛车等高风险运动；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任何生物、化学、原子能武器，原子能或核能装置所造成的爆炸、灼伤、污染或辐射；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恐怖主义活动，邪教组织活动；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疾病，包括但不限于高原反应、中暑、猝死；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非意外伤害导致的细菌或病毒感染；</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医疗事故；</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被保险人因意外伤害事故以外的原因失踪而被法院宣告死亡的；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在下列期间遭受意外伤害导致身故、伤残的，保险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也不承担给付保险金责任：</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战争、军事冲突、暴动或武装叛乱期间；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被保险人从事违法、犯罪活动期间，被依法拘留、服刑、在逃期间或抗拒依法采取的刑事强制措施期间；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被保险人醉酒或吸食毒品、管制药物的影响期间；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被保险人酒后驾驶、无有效驾驶证驾驶或驾驶无有效行驶证的机动车期间；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被保险人非法搭乘交通工具或搭乘未经当地相关政府部门登记许可的交通工具期间；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无有效操作证操作施工设备期间；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被保险人患艾滋病（AIDS）或感染艾滋病病毒（HIV呈阳性）期间；</w:t>
      </w:r>
    </w:p>
    <w:p>
      <w:pPr>
        <w:pStyle w:val="18"/>
        <w:numPr>
          <w:ilvl w:val="0"/>
          <w:numId w:val="10"/>
        </w:numPr>
        <w:tabs>
          <w:tab w:val="left" w:pos="640"/>
        </w:tabs>
        <w:ind w:left="1060" w:hanging="420" w:firstLineChars="0"/>
        <w:jc w:val="left"/>
        <w:rPr>
          <w:rFonts w:hint="eastAsia" w:asciiTheme="minorEastAsia" w:hAnsiTheme="minorEastAsia"/>
          <w:b/>
          <w:bCs/>
          <w:lang w:val="en-US" w:eastAsia="zh-CN"/>
        </w:rPr>
      </w:pPr>
      <w:r>
        <w:rPr>
          <w:rFonts w:hint="eastAsia" w:asciiTheme="minorEastAsia" w:hAnsiTheme="minorEastAsia" w:cstheme="minorBidi"/>
          <w:b/>
          <w:bCs/>
          <w:sz w:val="21"/>
          <w:szCs w:val="24"/>
        </w:rPr>
        <w:t>精神和行为障碍（以世界卫生组织颁发的《疾病和有关健康问题的国家统计分类（ICD-10）》为准）或者癫痫发作期间。</w:t>
      </w:r>
    </w:p>
    <w:p>
      <w:pPr>
        <w:numPr>
          <w:ilvl w:val="0"/>
          <w:numId w:val="6"/>
        </w:numPr>
        <w:tabs>
          <w:tab w:val="left" w:pos="640"/>
        </w:tabs>
        <w:ind w:left="420"/>
        <w:jc w:val="left"/>
        <w:rPr>
          <w:rFonts w:asciiTheme="minorEastAsia" w:hAnsiTheme="minorEastAsia"/>
        </w:rPr>
      </w:pPr>
      <w:r>
        <w:rPr>
          <w:rFonts w:asciiTheme="minorEastAsia" w:hAnsiTheme="minorEastAsia"/>
        </w:rPr>
        <w:t>理赔流程</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hint="eastAsia" w:asciiTheme="minorEastAsia" w:hAnsiTheme="minorEastAsia" w:eastAsiaTheme="minorEastAsia"/>
          <w:lang w:eastAsia="zh-CN"/>
        </w:rPr>
      </w:pPr>
      <w:r>
        <w:rPr>
          <w:rFonts w:hint="eastAsia" w:asciiTheme="minorEastAsia" w:hAnsiTheme="minorEastAsia"/>
        </w:rPr>
        <w:t>拨打承保公司太平财产保险有限公司客服热线95589进行报备</w:t>
      </w:r>
      <w:r>
        <w:rPr>
          <w:rFonts w:hint="eastAsia" w:asciiTheme="minorEastAsia" w:hAnsiTheme="minorEastAsia"/>
          <w:lang w:eastAsia="zh-CN"/>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1"/>
          <w:numId w:val="0"/>
        </w:numPr>
        <w:tabs>
          <w:tab w:val="left" w:pos="640"/>
        </w:tabs>
        <w:ind w:left="0" w:firstLine="420" w:firstLineChars="200"/>
        <w:jc w:val="left"/>
        <w:rPr>
          <w:rFonts w:asciiTheme="minorEastAsia" w:hAnsiTheme="minorEastAsia"/>
        </w:rPr>
      </w:pPr>
      <w:r>
        <w:rPr>
          <w:rFonts w:hint="eastAsia" w:asciiTheme="minorEastAsia" w:hAnsiTheme="minorEastAsia"/>
        </w:rPr>
        <w:t>拨打承保公司</w:t>
      </w:r>
      <w:r>
        <w:rPr>
          <w:rFonts w:hint="eastAsia" w:asciiTheme="minorEastAsia" w:hAnsiTheme="minorEastAsia"/>
          <w:b w:val="0"/>
          <w:bCs w:val="0"/>
          <w:lang w:val="en-US" w:eastAsia="zh-CN"/>
        </w:rPr>
        <w:t>国任财产保险股份有限公司客服热线956030</w:t>
      </w:r>
      <w:r>
        <w:rPr>
          <w:rFonts w:hint="eastAsia" w:asciiTheme="minorEastAsia" w:hAnsiTheme="minorEastAsia"/>
        </w:rPr>
        <w:t>进行报备</w:t>
      </w:r>
      <w:r>
        <w:rPr>
          <w:rFonts w:hint="eastAsia" w:asciiTheme="minorEastAsia" w:hAnsiTheme="minorEastAsia"/>
          <w:lang w:eastAsia="zh-CN"/>
        </w:rPr>
        <w:t>。</w:t>
      </w:r>
    </w:p>
    <w:p>
      <w:pPr>
        <w:numPr>
          <w:ilvl w:val="0"/>
          <w:numId w:val="6"/>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numPr>
          <w:ilvl w:val="-1"/>
          <w:numId w:val="0"/>
        </w:numPr>
        <w:tabs>
          <w:tab w:val="left" w:pos="640"/>
        </w:tabs>
        <w:ind w:left="420" w:firstLine="0" w:firstLineChars="0"/>
        <w:jc w:val="left"/>
        <w:rPr>
          <w:rFonts w:hint="eastAsia" w:asciiTheme="minorEastAsia" w:hAnsiTheme="minorEastAsia" w:eastAsiaTheme="minorEastAsia"/>
          <w:b/>
          <w:bCs/>
          <w:lang w:eastAsia="zh-CN"/>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asciiTheme="minorEastAsia" w:hAnsiTheme="minorEastAsia"/>
        </w:rPr>
      </w:pPr>
      <w:r>
        <w:rPr>
          <w:rFonts w:hint="eastAsia" w:asciiTheme="minorEastAsia" w:hAnsiTheme="minorEastAsia"/>
        </w:rPr>
        <w:t>保险金申请人向保险公司申请赔偿时，应提交作为索赔依据的证明和材料。被保险人未及时提供有关单证，导致保险公司无法核实单证的真实性及其记载的内容的，保险公司对无法核实部分不负给付保险金责任。</w:t>
      </w:r>
    </w:p>
    <w:p>
      <w:pPr>
        <w:ind w:firstLine="420" w:firstLineChars="200"/>
        <w:jc w:val="left"/>
        <w:rPr>
          <w:rFonts w:asciiTheme="minorEastAsia" w:hAnsiTheme="minorEastAsia"/>
        </w:rPr>
      </w:pPr>
      <w:r>
        <w:rPr>
          <w:rFonts w:hint="eastAsia" w:asciiTheme="minorEastAsia" w:hAnsiTheme="minorEastAsia"/>
        </w:rPr>
        <w:t>1）被保险人意外身故，保险金申请人应填写保险金给付申请书，并提供下列证明文件和资料给保险公司：</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死亡证明、丧葬费发票、火化证明、户籍注销证明原件或人民法院出具的宣告死亡证明文件；</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保险金受益人分配公证书；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ind w:firstLine="420" w:firstLineChars="200"/>
        <w:jc w:val="left"/>
        <w:rPr>
          <w:rFonts w:asciiTheme="minorEastAsia" w:hAnsiTheme="minorEastAsia"/>
        </w:rPr>
      </w:pPr>
      <w:r>
        <w:rPr>
          <w:rFonts w:hint="eastAsia" w:asciiTheme="minorEastAsia" w:hAnsiTheme="minorEastAsia"/>
        </w:rPr>
        <w:t>2）被保险人意外残疾的，保险金申请人应填写保险金给付申请书，并提供下列证明文件和资料给保险公司：</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司法部门、二级及二级以上医院或保险公司认可的医疗机构、保险公司认可的其他鉴定机构出具的残疾鉴定诊断书；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numPr>
          <w:ilvl w:val="0"/>
          <w:numId w:val="13"/>
        </w:numPr>
        <w:ind w:firstLine="420" w:firstLineChars="200"/>
        <w:jc w:val="left"/>
      </w:pPr>
      <w:r>
        <w:rPr>
          <w:rFonts w:hint="eastAsia" w:asciiTheme="minorEastAsia" w:hAnsiTheme="minorEastAsia"/>
        </w:rPr>
        <w:t>保险金申请人因特殊原因不能提供上述证明的，应提供法律认可的其他有关的证明资料，以提出索赔申请。</w:t>
      </w:r>
    </w:p>
    <w:p>
      <w:pPr>
        <w:ind w:left="420" w:firstLine="0" w:firstLineChars="0"/>
        <w:rPr>
          <w:rFonts w:hint="eastAsia" w:asciiTheme="minorEastAsia" w:hAnsiTheme="minorEastAsia"/>
          <w:b/>
          <w:bCs/>
          <w:lang w:val="en-US" w:eastAsia="zh-CN"/>
        </w:rPr>
      </w:pPr>
    </w:p>
    <w:p>
      <w:pPr>
        <w:ind w:left="420" w:firstLine="0" w:firstLineChars="0"/>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0"/>
          <w:numId w:val="0"/>
        </w:numPr>
        <w:tabs>
          <w:tab w:val="left" w:pos="640"/>
        </w:tabs>
        <w:adjustRightInd/>
        <w:snapToGrid/>
        <w:spacing w:before="0" w:beforeLines="-2147483648" w:after="0"/>
        <w:ind w:left="0" w:firstLine="420" w:firstLineChars="200"/>
        <w:jc w:val="left"/>
        <w:rPr>
          <w:rFonts w:hint="eastAsia" w:asciiTheme="minorEastAsia" w:hAnsiTheme="minorEastAsia" w:eastAsiaTheme="minorEastAsia"/>
          <w:b/>
          <w:bCs/>
          <w:szCs w:val="24"/>
        </w:rPr>
      </w:pPr>
      <w:r>
        <w:rPr>
          <w:rFonts w:hint="eastAsia" w:asciiTheme="minorEastAsia" w:hAnsiTheme="minorEastAsia" w:eastAsiaTheme="minorEastAsia"/>
          <w:b w:val="0"/>
          <w:bCs w:val="0"/>
          <w:szCs w:val="24"/>
        </w:rPr>
        <w:t>保险金申请人向保险</w:t>
      </w:r>
      <w:r>
        <w:rPr>
          <w:rFonts w:hint="eastAsia" w:asciiTheme="minorEastAsia" w:hAnsiTheme="minorEastAsia"/>
          <w:b w:val="0"/>
          <w:bCs w:val="0"/>
          <w:szCs w:val="24"/>
          <w:lang w:val="en-US" w:eastAsia="zh-CN"/>
        </w:rPr>
        <w:t>公司</w:t>
      </w:r>
      <w:r>
        <w:rPr>
          <w:rFonts w:hint="eastAsia" w:asciiTheme="minorEastAsia" w:hAnsiTheme="minorEastAsia" w:eastAsiaTheme="minorEastAsia"/>
          <w:b w:val="0"/>
          <w:bCs w:val="0"/>
          <w:szCs w:val="24"/>
        </w:rPr>
        <w:t>申请给付保险金时，应提交以下材料。保险金申请人因特殊原因不能提供以下材料的，应提供其它合法有效的材料。若保险金申请人委托他人申请的，还应提供授权委托书原件、委托人和受托人的身份证明等相关证明文件。</w:t>
      </w:r>
      <w:r>
        <w:rPr>
          <w:rFonts w:hint="eastAsia" w:asciiTheme="minorEastAsia" w:hAnsiTheme="minorEastAsia" w:eastAsiaTheme="minorEastAsia"/>
          <w:b/>
          <w:bCs/>
          <w:szCs w:val="24"/>
        </w:rPr>
        <w:t>保险金申请人未能提供有关材料，导致保险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无法核实该申请的真实性的，保险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对无法核实部分不承担给付保险金的责任。</w:t>
      </w:r>
    </w:p>
    <w:p>
      <w:pPr>
        <w:numPr>
          <w:ilvl w:val="0"/>
          <w:numId w:val="0"/>
        </w:numPr>
        <w:tabs>
          <w:tab w:val="left" w:pos="640"/>
        </w:tabs>
        <w:adjustRightInd/>
        <w:snapToGrid/>
        <w:spacing w:before="0" w:beforeLines="-2147483648" w:after="0"/>
        <w:ind w:left="420" w:firstLine="0" w:firstLineChars="0"/>
        <w:jc w:val="left"/>
        <w:rPr>
          <w:rFonts w:hint="eastAsia" w:asciiTheme="minorEastAsia" w:hAnsiTheme="minorEastAsia" w:eastAsiaTheme="minorEastAsia"/>
          <w:b w:val="0"/>
          <w:bCs w:val="0"/>
          <w:szCs w:val="24"/>
        </w:rPr>
      </w:pPr>
      <w:r>
        <w:rPr>
          <w:rFonts w:hint="eastAsia" w:asciiTheme="minorEastAsia" w:hAnsiTheme="minorEastAsia"/>
        </w:rPr>
        <w:t>1）</w:t>
      </w:r>
      <w:r>
        <w:rPr>
          <w:rFonts w:hint="eastAsia" w:asciiTheme="minorEastAsia" w:hAnsiTheme="minorEastAsia" w:eastAsiaTheme="minorEastAsia"/>
          <w:b w:val="0"/>
          <w:bCs w:val="0"/>
          <w:szCs w:val="24"/>
        </w:rPr>
        <w:t>身故保险金的申请</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受益人的户籍证明和能够证明受益人身份的证明；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二级以上（含二级）或保险人认可的医疗机构出具的被保险人死亡证明书。若被保险人为宣告死亡，保险金申请人应提供人民法院出具的宣告死亡证明文件；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公安部门出具的被保险人户籍注销证明；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被保险人死于意外事故的相关证明；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受益人所能提供的与确认保险事故的性质、原因、损失程度等有关的其他证明和资料；</w:t>
      </w:r>
    </w:p>
    <w:p>
      <w:pPr>
        <w:pStyle w:val="18"/>
        <w:numPr>
          <w:ilvl w:val="0"/>
          <w:numId w:val="14"/>
        </w:numPr>
        <w:ind w:left="840" w:hanging="420" w:firstLineChars="0"/>
        <w:jc w:val="left"/>
        <w:rPr>
          <w:rFonts w:asciiTheme="minorEastAsia" w:hAnsiTheme="minorEastAsia"/>
        </w:rPr>
      </w:pPr>
      <w:r>
        <w:rPr>
          <w:rFonts w:hint="eastAsia" w:asciiTheme="minorEastAsia" w:hAnsiTheme="minorEastAsia"/>
        </w:rPr>
        <w:t>受益人委托他人申请的，还应提供授权委托书原件、并提供委托人和受托人的身份证明、以受益人为户名的实名制银行账号等相关文件。</w:t>
      </w:r>
    </w:p>
    <w:p>
      <w:pPr>
        <w:numPr>
          <w:ilvl w:val="0"/>
          <w:numId w:val="0"/>
        </w:numPr>
        <w:tabs>
          <w:tab w:val="left" w:pos="640"/>
        </w:tabs>
        <w:adjustRightInd/>
        <w:snapToGrid/>
        <w:spacing w:before="0" w:beforeLines="-2147483648" w:after="0"/>
        <w:ind w:left="839" w:leftChars="0" w:hanging="420" w:firstLineChars="0"/>
        <w:jc w:val="left"/>
        <w:rPr>
          <w:rFonts w:hint="eastAsia" w:asciiTheme="minorEastAsia" w:hAnsiTheme="minorEastAsia" w:eastAsiaTheme="minorEastAsia"/>
          <w:b w:val="0"/>
          <w:bCs w:val="0"/>
          <w:szCs w:val="24"/>
        </w:rPr>
      </w:pPr>
      <w:r>
        <w:rPr>
          <w:rFonts w:hint="eastAsia" w:asciiTheme="minorEastAsia" w:hAnsiTheme="minorEastAsia"/>
          <w:b w:val="0"/>
          <w:bCs w:val="0"/>
          <w:szCs w:val="24"/>
          <w:lang w:eastAsia="zh-CN"/>
        </w:rPr>
        <w:t>2</w:t>
      </w:r>
      <w:r>
        <w:rPr>
          <w:rFonts w:hint="eastAsia" w:asciiTheme="minorEastAsia" w:hAnsiTheme="minorEastAsia" w:eastAsiaTheme="minorEastAsia"/>
          <w:b w:val="0"/>
          <w:bCs w:val="0"/>
          <w:szCs w:val="24"/>
        </w:rPr>
        <w:t>）伤残保险金的申请</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被保险人身份证明及户籍证明；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符合下列条件的医疗机构或保险人认可的司法鉴定机构出具的伤残鉴定诊断书；</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持有有效医疗机构执业许可证的二级以上（含二级）医疗机构；</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具备相关法律法规要求的伤残程度鉴定资格；</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遵守国家、省、市有关医疗服务管理的法律、法规、标准和规定。</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被保险人因意外事故导致该伤残的证明；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被保险人所能提供的与确认保险事故的性质、原因、损失程度等有关的其他证明和资料；</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被保险人委托他人申请的，还应提供授权委托书原件、并提供委托人和受托人的身份证明、以被保险人为户名的实名制银行账号等相关文件。</w:t>
      </w:r>
    </w:p>
    <w:p>
      <w:pPr>
        <w:numPr>
          <w:ilvl w:val="-1"/>
          <w:numId w:val="0"/>
        </w:numPr>
        <w:ind w:firstLine="0" w:firstLineChars="0"/>
        <w:jc w:val="left"/>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asciiTheme="minorEastAsia" w:hAnsiTheme="minorEastAsia"/>
          <w:b/>
          <w:bCs/>
        </w:rPr>
      </w:pPr>
      <w:r>
        <w:rPr>
          <w:rFonts w:hint="eastAsia" w:asciiTheme="minorEastAsia" w:hAnsiTheme="minorEastAsia"/>
          <w:b/>
          <w:bCs/>
        </w:rPr>
        <w:t>（一）“我爱我家C</w:t>
      </w:r>
      <w:r>
        <w:rPr>
          <w:rFonts w:asciiTheme="minorEastAsia" w:hAnsiTheme="minorEastAsia"/>
          <w:b/>
          <w:bCs/>
        </w:rPr>
        <w:t>/D</w:t>
      </w:r>
      <w:r>
        <w:rPr>
          <w:rFonts w:hint="eastAsia" w:asciiTheme="minorEastAsia" w:hAnsiTheme="minorEastAsia"/>
          <w:b/>
          <w:bCs/>
        </w:rPr>
        <w:t>”优选增值服务产品提供的重疾绿色通道服务、重大疾病全球二次诊疗服务（仅限购买我爱我家D的持卡人）、电话医生服务及附赠的保险权益自购买的次月1</w:t>
      </w:r>
      <w:r>
        <w:rPr>
          <w:rFonts w:asciiTheme="minorEastAsia" w:hAnsiTheme="minorEastAsia"/>
          <w:b/>
          <w:bCs/>
        </w:rPr>
        <w:t>0</w:t>
      </w:r>
      <w:r>
        <w:rPr>
          <w:rFonts w:hint="eastAsia" w:asciiTheme="minorEastAsia" w:hAnsiTheme="minorEastAsia"/>
          <w:b/>
          <w:bCs/>
        </w:rPr>
        <w:t>日凌晨生效，零起点短信提醒服务、免除卡片挂失手续费服务自购买之日起次日凌晨生效。</w:t>
      </w:r>
    </w:p>
    <w:p>
      <w:pPr>
        <w:ind w:left="2" w:leftChars="1" w:firstLine="422" w:firstLineChars="200"/>
        <w:jc w:val="left"/>
        <w:rPr>
          <w:rFonts w:asciiTheme="minorEastAsia" w:hAnsiTheme="minorEastAsia"/>
          <w:b/>
          <w:bCs/>
        </w:rPr>
      </w:pPr>
      <w:r>
        <w:rPr>
          <w:rFonts w:hint="eastAsia" w:asciiTheme="minorEastAsia" w:hAnsiTheme="minorEastAsia"/>
          <w:b/>
          <w:bCs/>
        </w:rPr>
        <w:t>（二）“我爱我家C</w:t>
      </w:r>
      <w:r>
        <w:rPr>
          <w:rFonts w:asciiTheme="minorEastAsia" w:hAnsiTheme="minorEastAsia"/>
          <w:b/>
          <w:bCs/>
        </w:rPr>
        <w:t>/D</w:t>
      </w:r>
      <w:r>
        <w:rPr>
          <w:rFonts w:hint="eastAsia" w:asciiTheme="minorEastAsia" w:hAnsiTheme="minorEastAsia"/>
          <w:b/>
          <w:bCs/>
        </w:rPr>
        <w:t>”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1"/>
          <w:numId w:val="0"/>
        </w:numPr>
        <w:ind w:firstLine="0" w:firstLineChars="0"/>
        <w:jc w:val="left"/>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bookmarkStart w:id="2" w:name="_Hlk122681831"/>
      <w:bookmarkStart w:id="3" w:name="_Hlk122682911"/>
      <w:r>
        <w:rPr>
          <w:rFonts w:hint="eastAsia" w:asciiTheme="minorEastAsia" w:hAnsiTheme="minorEastAsia"/>
        </w:rPr>
        <w:t>中信银行信用卡</w:t>
      </w:r>
      <w:bookmarkEnd w:id="2"/>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费用，按户计收，每位主卡持卡人（无论持有几张主卡）仅限订购一份，若一位主卡持卡人订购多份同款优选增值服务产品也仅能享受一份该款优选增值服务</w:t>
      </w:r>
      <w:r>
        <w:rPr>
          <w:rFonts w:hint="eastAsia" w:ascii="宋体" w:hAnsi="宋体"/>
        </w:rPr>
        <w:t>产品</w:t>
      </w:r>
      <w:r>
        <w:rPr>
          <w:rFonts w:hint="eastAsia" w:asciiTheme="minorEastAsia" w:hAnsiTheme="minorEastAsia"/>
        </w:rPr>
        <w:t>的功能。</w:t>
      </w:r>
      <w:bookmarkEnd w:id="3"/>
    </w:p>
    <w:p>
      <w:pPr>
        <w:ind w:left="2" w:leftChars="1" w:firstLine="420" w:firstLineChars="200"/>
        <w:jc w:val="left"/>
        <w:rPr>
          <w:rFonts w:asciiTheme="minorEastAsia" w:hAnsiTheme="minorEastAsia"/>
        </w:rPr>
      </w:pPr>
      <w:r>
        <w:rPr>
          <w:rFonts w:hint="eastAsia" w:asciiTheme="minorEastAsia" w:hAnsiTheme="minorEastAsia"/>
        </w:rPr>
        <w:t>（二）仅限主卡持卡人订购</w:t>
      </w:r>
      <w:bookmarkStart w:id="4" w:name="_Hlk122355822"/>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bookmarkEnd w:id="4"/>
      <w:r>
        <w:rPr>
          <w:rFonts w:hint="eastAsia" w:ascii="宋体" w:hAnsi="宋体"/>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，则已收取的优选增值服务</w:t>
      </w:r>
      <w:r>
        <w:rPr>
          <w:rFonts w:hint="eastAsia" w:ascii="宋体" w:hAnsi="宋体"/>
        </w:rPr>
        <w:t>产品</w:t>
      </w:r>
      <w:r>
        <w:rPr>
          <w:rFonts w:hint="eastAsia" w:asciiTheme="minorEastAsia" w:hAnsiTheme="minorEastAsia"/>
        </w:rPr>
        <w:t>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w:t>
      </w:r>
      <w:r>
        <w:rPr>
          <w:rFonts w:hint="eastAsia" w:ascii="宋体" w:hAnsi="宋体"/>
        </w:rPr>
        <w:t>产品</w:t>
      </w:r>
      <w:r>
        <w:rPr>
          <w:rFonts w:hint="eastAsia" w:asciiTheme="minorEastAsia" w:hAnsiTheme="minorEastAsia"/>
        </w:rPr>
        <w:t>费用记入持卡人指定的信用卡当期对账单，由持卡人在账单显示的还款期内正常还款。</w:t>
      </w:r>
    </w:p>
    <w:p>
      <w:pPr>
        <w:ind w:left="2" w:leftChars="1" w:firstLine="422" w:firstLineChars="200"/>
        <w:jc w:val="left"/>
        <w:rPr>
          <w:rFonts w:asciiTheme="minorEastAsia" w:hAnsiTheme="minorEastAsia"/>
          <w:b/>
          <w:bCs/>
        </w:rPr>
      </w:pPr>
      <w:r>
        <w:rPr>
          <w:rFonts w:hint="eastAsia" w:asciiTheme="minorEastAsia" w:hAnsiTheme="minorEastAsia"/>
          <w:b/>
          <w:bCs/>
        </w:rPr>
        <w:t>（六）“我爱我家C</w:t>
      </w:r>
      <w:r>
        <w:rPr>
          <w:rFonts w:asciiTheme="minorEastAsia" w:hAnsiTheme="minorEastAsia"/>
          <w:b/>
          <w:bCs/>
        </w:rPr>
        <w:t>/D</w:t>
      </w:r>
      <w:r>
        <w:rPr>
          <w:rFonts w:hint="eastAsia" w:asciiTheme="minorEastAsia" w:hAnsiTheme="minorEastAsia"/>
          <w:b/>
          <w:bCs/>
        </w:rPr>
        <w:t>”增值服务</w:t>
      </w:r>
      <w:r>
        <w:rPr>
          <w:rFonts w:hint="eastAsia" w:ascii="宋体" w:hAnsi="宋体"/>
          <w:b/>
          <w:bCs/>
        </w:rPr>
        <w:t>产品</w:t>
      </w:r>
      <w:r>
        <w:rPr>
          <w:rFonts w:hint="eastAsia" w:asciiTheme="minorEastAsia" w:hAnsiTheme="minorEastAsia"/>
          <w:b/>
          <w:bCs/>
        </w:rPr>
        <w:t>附赠的家庭综合意外伤害保险权益，仅限投保年龄为1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周岁持卡人，若超过</w:t>
      </w:r>
      <w:r>
        <w:rPr>
          <w:rFonts w:asciiTheme="minorEastAsia" w:hAnsiTheme="minorEastAsia"/>
          <w:b/>
          <w:bCs/>
        </w:rPr>
        <w:t>70</w:t>
      </w:r>
      <w:r>
        <w:rPr>
          <w:rFonts w:hint="eastAsia" w:asciiTheme="minorEastAsia" w:hAnsiTheme="minorEastAsia"/>
          <w:b/>
          <w:bCs/>
        </w:rPr>
        <w:t>周岁，不再扣取产品费用，</w:t>
      </w:r>
      <w:bookmarkStart w:id="5" w:name="_Hlk122682980"/>
      <w:r>
        <w:rPr>
          <w:rFonts w:hint="eastAsia" w:asciiTheme="minorEastAsia" w:hAnsiTheme="minorEastAsia"/>
          <w:b/>
          <w:bCs/>
        </w:rPr>
        <w:t>本产品及附赠保险保障权益自动失效。</w:t>
      </w:r>
      <w:bookmarkEnd w:id="5"/>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（七）“我爱我家C/D”优选增值服务附赠的家庭综合意外伤害保险，投保人为中信银行信用卡中心、被保险人为订购“我爱我家</w:t>
      </w:r>
      <w:r>
        <w:rPr>
          <w:rFonts w:asciiTheme="minorEastAsia" w:hAnsiTheme="minorEastAsia"/>
          <w:b/>
          <w:bCs/>
        </w:rPr>
        <w:t>C/D</w:t>
      </w:r>
      <w:r>
        <w:rPr>
          <w:rFonts w:hint="eastAsia" w:asciiTheme="minorEastAsia" w:hAnsiTheme="minorEastAsia"/>
          <w:b/>
          <w:bCs/>
        </w:rPr>
        <w:t>”优选增值服务产品且保险权益已生效的持卡人本人及其家庭成员（配偶、子女），由于附赠保险含有死亡保险责任，请确认您已就投保事项及保险金额征得了其他被保险人的同意及认可（未成年子女需取得其监护人的同意及认可）。</w:t>
      </w:r>
    </w:p>
    <w:p>
      <w:pPr>
        <w:tabs>
          <w:tab w:val="left" w:pos="312"/>
          <w:tab w:val="left" w:pos="640"/>
        </w:tabs>
        <w:ind w:left="0" w:leftChars="0" w:firstLine="422" w:firstLineChars="200"/>
        <w:jc w:val="left"/>
        <w:rPr>
          <w:rFonts w:asciiTheme="minorEastAsia" w:hAnsiTheme="minorEastAsia"/>
        </w:rPr>
      </w:pPr>
      <w:r>
        <w:rPr>
          <w:rFonts w:hint="eastAsia" w:cs="Calibri"/>
          <w:b/>
          <w:bCs/>
          <w:szCs w:val="21"/>
          <w:shd w:val="clear" w:color="auto" w:fill="FFFFFF"/>
        </w:rPr>
        <w:t>中信银行信用卡中心将通过如下方式取得持卡人其他家庭成员（不含未成年子女）同意及认可：附赠持卡人其他家庭成员（不含未成年子女）的保险权益须由作为被保险人的其他家庭成员本人通过持卡人所转发的链接予以确认</w:t>
      </w:r>
      <w:r>
        <w:rPr>
          <w:rFonts w:hint="eastAsia" w:ascii="Calibri" w:hAnsi="Calibri" w:cs="Calibri"/>
          <w:b/>
          <w:bCs/>
          <w:szCs w:val="21"/>
          <w:shd w:val="clear" w:color="auto" w:fill="FFFFFF"/>
        </w:rPr>
        <w:t>+</w:t>
      </w:r>
      <w:r>
        <w:rPr>
          <w:rFonts w:hint="eastAsia" w:cs="Calibri"/>
          <w:b/>
          <w:bCs/>
          <w:szCs w:val="21"/>
          <w:shd w:val="clear" w:color="auto" w:fill="FFFFFF"/>
        </w:rPr>
        <w:t>短信验证方式明确同意后方能生效。由持卡人转发至其家庭成员（不含未成年子女），家庭成员通过点击链接</w:t>
      </w:r>
      <w:r>
        <w:rPr>
          <w:rFonts w:hint="eastAsia" w:ascii="Calibri" w:hAnsi="Calibri" w:cs="Calibri"/>
          <w:b/>
          <w:bCs/>
          <w:szCs w:val="21"/>
          <w:shd w:val="clear" w:color="auto" w:fill="FFFFFF"/>
        </w:rPr>
        <w:t>/</w:t>
      </w:r>
      <w:r>
        <w:rPr>
          <w:rFonts w:hint="eastAsia" w:cs="Calibri"/>
          <w:b/>
          <w:bCs/>
          <w:szCs w:val="21"/>
          <w:shd w:val="clear" w:color="auto" w:fill="FFFFFF"/>
        </w:rPr>
        <w:t>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numPr>
          <w:ilvl w:val="-1"/>
          <w:numId w:val="0"/>
        </w:numPr>
        <w:ind w:firstLine="0" w:firstLineChars="0"/>
        <w:jc w:val="left"/>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（一）中信银行信用卡中心有权在不对持卡人权益造成不利影响的前提下，不时调整承保“我爱我家C/D”优选增值服务产品附赠保险权益的保险公司，并以网站公告或短信提示等方式通知持卡人。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（二）持卡人在成功购买“我爱我家C/D”优选增值服务产品后，根据监管的要求，持卡人个人的姓名及身份证号码将给到中信银行信用卡中心合作的承保保险公司</w:t>
      </w:r>
      <w:r>
        <w:rPr>
          <w:rFonts w:hint="eastAsia" w:ascii="宋体" w:hAnsi="宋体"/>
        </w:rPr>
        <w:t>和二次诊疗服务合作机构</w:t>
      </w:r>
      <w:r>
        <w:rPr>
          <w:rFonts w:hint="eastAsia" w:asciiTheme="minorEastAsia" w:hAnsiTheme="minorEastAsia"/>
        </w:rPr>
        <w:t>，为持卡人进行投保。</w:t>
      </w:r>
    </w:p>
    <w:p>
      <w:pPr>
        <w:ind w:firstLine="420" w:firstLineChars="200"/>
        <w:jc w:val="left"/>
        <w:rPr>
          <w:rFonts w:asciiTheme="minorEastAsia" w:hAnsiTheme="minorEastAsia"/>
        </w:rPr>
      </w:pPr>
      <w:r>
        <w:rPr>
          <w:rFonts w:hint="eastAsia" w:asciiTheme="minorEastAsia" w:hAnsiTheme="minorEastAsia"/>
        </w:rPr>
        <w:t>（三）</w:t>
      </w:r>
      <w:bookmarkStart w:id="6" w:name="_Hlk122683016"/>
      <w:r>
        <w:rPr>
          <w:rFonts w:hint="eastAsia" w:ascii="宋体" w:hAnsi="宋体"/>
        </w:rPr>
        <w:t>持卡人订购本产品即视为理解并同意本细则。中信银行信用卡中心保留变更、调整、终止本产品之权利并有权调整或变更本细则。</w:t>
      </w:r>
      <w:bookmarkEnd w:id="6"/>
      <w:r>
        <w:rPr>
          <w:rFonts w:hint="eastAsia" w:asciiTheme="minorEastAsia" w:hAnsiTheme="minorEastAsia"/>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我爱我家C/D”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我爱我家C/D”优选增值服务附赠的保险权益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asciiTheme="minorEastAsia" w:hAnsiTheme="minorEastAsia"/>
        </w:rPr>
      </w:pPr>
      <w:r>
        <w:rPr>
          <w:rFonts w:hint="eastAsia" w:asciiTheme="minorEastAsia" w:hAnsiTheme="minorEastAsia"/>
        </w:rPr>
        <w:t>（六）中信银行信用卡中心保留于任何时间及在其认为适当情况下修改本细则的权利，并通过中信银行信用卡中心认为合适的任何方式将此等修改通知持卡人。</w:t>
      </w:r>
    </w:p>
    <w:p>
      <w:pPr>
        <w:ind w:firstLine="420" w:firstLineChars="200"/>
        <w:jc w:val="left"/>
        <w:rPr>
          <w:rFonts w:asciiTheme="minorEastAsia" w:hAnsiTheme="minorEastAsia"/>
        </w:rPr>
      </w:pPr>
      <w:r>
        <w:rPr>
          <w:rFonts w:hint="eastAsia" w:asciiTheme="minorEastAsia" w:hAnsiTheme="minorEastAsia"/>
        </w:rPr>
        <w:t>（七）</w:t>
      </w:r>
      <w:r>
        <w:rPr>
          <w:rFonts w:hint="eastAsia" w:asciiTheme="minorEastAsia" w:hAnsiTheme="minorEastAsia"/>
          <w:b/>
          <w:bCs/>
        </w:rPr>
        <w:t>附赠的保险权益</w:t>
      </w:r>
      <w:r>
        <w:rPr>
          <w:rFonts w:hint="eastAsia" w:asciiTheme="minorEastAsia" w:hAnsiTheme="minorEastAsia"/>
          <w:b/>
          <w:bCs/>
          <w:lang w:val="en-US" w:eastAsia="zh-CN"/>
        </w:rPr>
        <w:t>的承保公司为</w:t>
      </w:r>
      <w:r>
        <w:rPr>
          <w:rFonts w:hint="eastAsia" w:asciiTheme="minorEastAsia" w:hAnsiTheme="minorEastAsia"/>
          <w:b/>
          <w:bCs/>
        </w:rPr>
        <w:t>太平财产保险有限公司（服务电话：</w:t>
      </w:r>
      <w:r>
        <w:rPr>
          <w:rFonts w:asciiTheme="minorEastAsia" w:hAnsiTheme="minorEastAsia"/>
          <w:b/>
          <w:bCs/>
        </w:rPr>
        <w:t>95589）</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或国任财产保险股份有限公司</w:t>
      </w:r>
      <w:r>
        <w:rPr>
          <w:rFonts w:hint="eastAsia" w:asciiTheme="minorEastAsia" w:hAnsiTheme="minorEastAsia"/>
          <w:b/>
          <w:bCs/>
        </w:rPr>
        <w:t>（服务电话：</w:t>
      </w:r>
      <w:r>
        <w:rPr>
          <w:rFonts w:hint="eastAsia" w:asciiTheme="minorEastAsia" w:hAnsiTheme="minorEastAsia"/>
          <w:b/>
          <w:bCs/>
          <w:lang w:val="en-US" w:eastAsia="zh-CN"/>
        </w:rPr>
        <w:t>956030</w:t>
      </w:r>
      <w:r>
        <w:rPr>
          <w:rFonts w:asciiTheme="minorEastAsia" w:hAnsiTheme="minorEastAsia"/>
          <w:b/>
          <w:bCs/>
        </w:rPr>
        <w:t>）</w:t>
      </w:r>
      <w:r>
        <w:rPr>
          <w:rFonts w:hint="eastAsia" w:asciiTheme="minorEastAsia" w:hAnsiTheme="minorEastAsia"/>
          <w:b/>
          <w:bCs/>
          <w:lang w:val="en-US" w:eastAsia="zh-CN"/>
        </w:rPr>
        <w:t>（</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r>
        <w:rPr>
          <w:rFonts w:asciiTheme="minorEastAsia" w:hAnsiTheme="minorEastAsia"/>
          <w:b/>
          <w:bCs/>
        </w:rPr>
        <w:t>，中信银行信用卡中心不对保险服务及理赔事宜提供任何保证或承担任何责任。请购买产品的持卡人认真阅读相应保险条款。</w:t>
      </w:r>
    </w:p>
    <w:p>
      <w:pPr>
        <w:ind w:firstLine="420" w:firstLineChars="200"/>
        <w:jc w:val="left"/>
        <w:rPr>
          <w:rFonts w:asciiTheme="minorEastAsia" w:hAnsiTheme="minorEastAsia"/>
        </w:rPr>
      </w:pPr>
      <w:bookmarkStart w:id="7" w:name="_Hlk122683376"/>
      <w:r>
        <w:rPr>
          <w:rFonts w:hint="eastAsia" w:asciiTheme="minorEastAsia" w:hAnsiTheme="minorEastAsia"/>
        </w:rPr>
        <w:t>（八）在法律法规许可范围内，中信银行信用卡中心保留对本条款的最终解释权，咨询（投诉）电话40088-95558。</w:t>
      </w:r>
    </w:p>
    <w:bookmarkEnd w:id="7"/>
    <w:p>
      <w:pPr>
        <w:ind w:firstLine="420" w:firstLineChars="200"/>
        <w:jc w:val="left"/>
        <w:rPr>
          <w:rFonts w:asciiTheme="minorEastAsia" w:hAnsiTheme="minorEastAsia"/>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D6E7"/>
    <w:multiLevelType w:val="singleLevel"/>
    <w:tmpl w:val="8077D6E7"/>
    <w:lvl w:ilvl="0" w:tentative="0">
      <w:start w:val="1"/>
      <w:numFmt w:val="lowerLetter"/>
      <w:lvlText w:val="%1."/>
      <w:lvlJc w:val="left"/>
      <w:pPr>
        <w:ind w:left="425" w:hanging="425"/>
      </w:pPr>
      <w:rPr>
        <w:rFonts w:hint="default"/>
      </w:rPr>
    </w:lvl>
  </w:abstractNum>
  <w:abstractNum w:abstractNumId="1">
    <w:nsid w:val="8EA3AC99"/>
    <w:multiLevelType w:val="multilevel"/>
    <w:tmpl w:val="8EA3AC9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9DBF8DA7"/>
    <w:multiLevelType w:val="singleLevel"/>
    <w:tmpl w:val="9DBF8DA7"/>
    <w:lvl w:ilvl="0" w:tentative="0">
      <w:start w:val="1"/>
      <w:numFmt w:val="decimal"/>
      <w:suff w:val="nothing"/>
      <w:lvlText w:val="（%1）"/>
      <w:lvlJc w:val="left"/>
    </w:lvl>
  </w:abstractNum>
  <w:abstractNum w:abstractNumId="3">
    <w:nsid w:val="A29EB0CC"/>
    <w:multiLevelType w:val="singleLevel"/>
    <w:tmpl w:val="A29EB0CC"/>
    <w:lvl w:ilvl="0" w:tentative="0">
      <w:start w:val="1"/>
      <w:numFmt w:val="decimal"/>
      <w:suff w:val="nothing"/>
      <w:lvlText w:val="（%1）"/>
      <w:lvlJc w:val="left"/>
    </w:lvl>
  </w:abstractNum>
  <w:abstractNum w:abstractNumId="4">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5">
    <w:nsid w:val="ACD0398D"/>
    <w:multiLevelType w:val="multilevel"/>
    <w:tmpl w:val="ACD0398D"/>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B7409ACE"/>
    <w:multiLevelType w:val="singleLevel"/>
    <w:tmpl w:val="B7409ACE"/>
    <w:lvl w:ilvl="0" w:tentative="0">
      <w:start w:val="1"/>
      <w:numFmt w:val="lowerLetter"/>
      <w:lvlText w:val="%1."/>
      <w:lvlJc w:val="left"/>
      <w:pPr>
        <w:ind w:left="425" w:hanging="425"/>
      </w:pPr>
      <w:rPr>
        <w:rFonts w:hint="default"/>
      </w:rPr>
    </w:lvl>
  </w:abstractNum>
  <w:abstractNum w:abstractNumId="7">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8">
    <w:nsid w:val="DF2A59CB"/>
    <w:multiLevelType w:val="singleLevel"/>
    <w:tmpl w:val="DF2A59CB"/>
    <w:lvl w:ilvl="0" w:tentative="0">
      <w:start w:val="1"/>
      <w:numFmt w:val="lowerLetter"/>
      <w:lvlText w:val="%1."/>
      <w:lvlJc w:val="left"/>
      <w:pPr>
        <w:ind w:left="425" w:hanging="425"/>
      </w:pPr>
      <w:rPr>
        <w:rFonts w:hint="default"/>
      </w:rPr>
    </w:lvl>
  </w:abstractNum>
  <w:abstractNum w:abstractNumId="9">
    <w:nsid w:val="E28305EB"/>
    <w:multiLevelType w:val="singleLevel"/>
    <w:tmpl w:val="E28305EB"/>
    <w:lvl w:ilvl="0" w:tentative="0">
      <w:start w:val="1"/>
      <w:numFmt w:val="lowerLetter"/>
      <w:lvlText w:val="（%1）"/>
      <w:lvlJc w:val="left"/>
      <w:pPr>
        <w:tabs>
          <w:tab w:val="left" w:pos="397"/>
        </w:tabs>
        <w:ind w:left="874" w:leftChars="0" w:hanging="454" w:firstLineChars="0"/>
      </w:pPr>
      <w:rPr>
        <w:rFonts w:hint="default"/>
      </w:rPr>
    </w:lvl>
  </w:abstractNum>
  <w:abstractNum w:abstractNumId="10">
    <w:nsid w:val="0D3609CC"/>
    <w:multiLevelType w:val="singleLevel"/>
    <w:tmpl w:val="0D3609CC"/>
    <w:lvl w:ilvl="0" w:tentative="0">
      <w:start w:val="1"/>
      <w:numFmt w:val="lowerLetter"/>
      <w:lvlText w:val="%1."/>
      <w:lvlJc w:val="left"/>
      <w:pPr>
        <w:ind w:left="425" w:hanging="425"/>
      </w:pPr>
      <w:rPr>
        <w:rFonts w:hint="default"/>
      </w:rPr>
    </w:lvl>
  </w:abstractNum>
  <w:abstractNum w:abstractNumId="11">
    <w:nsid w:val="15627971"/>
    <w:multiLevelType w:val="singleLevel"/>
    <w:tmpl w:val="15627971"/>
    <w:lvl w:ilvl="0" w:tentative="0">
      <w:start w:val="3"/>
      <w:numFmt w:val="decimal"/>
      <w:suff w:val="nothing"/>
      <w:lvlText w:val="%1）"/>
      <w:lvlJc w:val="left"/>
    </w:lvl>
  </w:abstractNum>
  <w:abstractNum w:abstractNumId="12">
    <w:nsid w:val="20A347F8"/>
    <w:multiLevelType w:val="multilevel"/>
    <w:tmpl w:val="20A347F8"/>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2286588F"/>
    <w:multiLevelType w:val="singleLevel"/>
    <w:tmpl w:val="2286588F"/>
    <w:lvl w:ilvl="0" w:tentative="0">
      <w:start w:val="1"/>
      <w:numFmt w:val="lowerLetter"/>
      <w:lvlText w:val="%1."/>
      <w:lvlJc w:val="left"/>
      <w:pPr>
        <w:tabs>
          <w:tab w:val="left" w:pos="0"/>
        </w:tabs>
        <w:ind w:left="425" w:hanging="425"/>
      </w:pPr>
      <w:rPr>
        <w:rFonts w:hint="default"/>
      </w:rPr>
    </w:lvl>
  </w:abstractNum>
  <w:abstractNum w:abstractNumId="14">
    <w:nsid w:val="351B030E"/>
    <w:multiLevelType w:val="multilevel"/>
    <w:tmpl w:val="351B030E"/>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5B1280B4"/>
    <w:multiLevelType w:val="singleLevel"/>
    <w:tmpl w:val="5B1280B4"/>
    <w:lvl w:ilvl="0" w:tentative="0">
      <w:start w:val="1"/>
      <w:numFmt w:val="chineseCounting"/>
      <w:suff w:val="nothing"/>
      <w:lvlText w:val="%1、"/>
      <w:lvlJc w:val="left"/>
      <w:rPr>
        <w:rFonts w:hint="eastAsia"/>
      </w:rPr>
    </w:lvl>
  </w:abstractNum>
  <w:num w:numId="1">
    <w:abstractNumId w:val="15"/>
  </w:num>
  <w:num w:numId="2">
    <w:abstractNumId w:val="7"/>
  </w:num>
  <w:num w:numId="3">
    <w:abstractNumId w:val="4"/>
  </w:num>
  <w:num w:numId="4">
    <w:abstractNumId w:val="2"/>
  </w:num>
  <w:num w:numId="5">
    <w:abstractNumId w:val="14"/>
  </w:num>
  <w:num w:numId="6">
    <w:abstractNumId w:val="3"/>
  </w:num>
  <w:num w:numId="7">
    <w:abstractNumId w:val="8"/>
  </w:num>
  <w:num w:numId="8">
    <w:abstractNumId w:val="12"/>
  </w:num>
  <w:num w:numId="9">
    <w:abstractNumId w:val="1"/>
  </w:num>
  <w:num w:numId="10">
    <w:abstractNumId w:val="0"/>
  </w:num>
  <w:num w:numId="11">
    <w:abstractNumId w:val="13"/>
  </w:num>
  <w:num w:numId="12">
    <w:abstractNumId w:val="5"/>
  </w:num>
  <w:num w:numId="13">
    <w:abstractNumId w:val="11"/>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60B3"/>
    <w:rsid w:val="00016F3C"/>
    <w:rsid w:val="00023DE2"/>
    <w:rsid w:val="0002536D"/>
    <w:rsid w:val="00043C4D"/>
    <w:rsid w:val="0006417A"/>
    <w:rsid w:val="00064D03"/>
    <w:rsid w:val="000B10FC"/>
    <w:rsid w:val="000B320D"/>
    <w:rsid w:val="000B6CE1"/>
    <w:rsid w:val="000D3D53"/>
    <w:rsid w:val="000E2A3C"/>
    <w:rsid w:val="000E3D02"/>
    <w:rsid w:val="000E6B14"/>
    <w:rsid w:val="000F2EBF"/>
    <w:rsid w:val="00102E20"/>
    <w:rsid w:val="00104390"/>
    <w:rsid w:val="00114641"/>
    <w:rsid w:val="00134BDE"/>
    <w:rsid w:val="00141E59"/>
    <w:rsid w:val="001A2579"/>
    <w:rsid w:val="001E4540"/>
    <w:rsid w:val="001F1798"/>
    <w:rsid w:val="002024BB"/>
    <w:rsid w:val="002160A1"/>
    <w:rsid w:val="00244861"/>
    <w:rsid w:val="00247491"/>
    <w:rsid w:val="0026394C"/>
    <w:rsid w:val="0026555B"/>
    <w:rsid w:val="0028384B"/>
    <w:rsid w:val="002C3E7E"/>
    <w:rsid w:val="002E215F"/>
    <w:rsid w:val="00304C94"/>
    <w:rsid w:val="00331BF1"/>
    <w:rsid w:val="00335D5B"/>
    <w:rsid w:val="00340962"/>
    <w:rsid w:val="00341E29"/>
    <w:rsid w:val="00347B11"/>
    <w:rsid w:val="0038491F"/>
    <w:rsid w:val="00393CF2"/>
    <w:rsid w:val="00395413"/>
    <w:rsid w:val="003A156C"/>
    <w:rsid w:val="003A5B68"/>
    <w:rsid w:val="003B242A"/>
    <w:rsid w:val="003D3524"/>
    <w:rsid w:val="00416D79"/>
    <w:rsid w:val="00462827"/>
    <w:rsid w:val="00473D14"/>
    <w:rsid w:val="00482DC8"/>
    <w:rsid w:val="00485458"/>
    <w:rsid w:val="004856BF"/>
    <w:rsid w:val="00490362"/>
    <w:rsid w:val="00522239"/>
    <w:rsid w:val="00524BEC"/>
    <w:rsid w:val="00541B6D"/>
    <w:rsid w:val="005A1E23"/>
    <w:rsid w:val="00635AB3"/>
    <w:rsid w:val="00660CE4"/>
    <w:rsid w:val="00664A75"/>
    <w:rsid w:val="006853A6"/>
    <w:rsid w:val="0068782C"/>
    <w:rsid w:val="006E4870"/>
    <w:rsid w:val="007410B3"/>
    <w:rsid w:val="007423C6"/>
    <w:rsid w:val="0074490E"/>
    <w:rsid w:val="007470DB"/>
    <w:rsid w:val="00760D38"/>
    <w:rsid w:val="0076142B"/>
    <w:rsid w:val="007A15C6"/>
    <w:rsid w:val="007A55E6"/>
    <w:rsid w:val="007B0914"/>
    <w:rsid w:val="007C6062"/>
    <w:rsid w:val="007D039C"/>
    <w:rsid w:val="007E62F9"/>
    <w:rsid w:val="007F0B5F"/>
    <w:rsid w:val="007F18A7"/>
    <w:rsid w:val="007F317F"/>
    <w:rsid w:val="00805590"/>
    <w:rsid w:val="00816DF0"/>
    <w:rsid w:val="00816F39"/>
    <w:rsid w:val="0082145B"/>
    <w:rsid w:val="008478FA"/>
    <w:rsid w:val="0085260C"/>
    <w:rsid w:val="00865152"/>
    <w:rsid w:val="008808D1"/>
    <w:rsid w:val="00886006"/>
    <w:rsid w:val="00894A15"/>
    <w:rsid w:val="008C660B"/>
    <w:rsid w:val="008E46BB"/>
    <w:rsid w:val="008E642C"/>
    <w:rsid w:val="009075BB"/>
    <w:rsid w:val="00923573"/>
    <w:rsid w:val="00943781"/>
    <w:rsid w:val="0095464B"/>
    <w:rsid w:val="00990DB3"/>
    <w:rsid w:val="009C72B8"/>
    <w:rsid w:val="009C77C7"/>
    <w:rsid w:val="009F23CF"/>
    <w:rsid w:val="00A06EBE"/>
    <w:rsid w:val="00A078F9"/>
    <w:rsid w:val="00A144DD"/>
    <w:rsid w:val="00A24580"/>
    <w:rsid w:val="00A46FC1"/>
    <w:rsid w:val="00A65C15"/>
    <w:rsid w:val="00A856B4"/>
    <w:rsid w:val="00A926E3"/>
    <w:rsid w:val="00AA56E6"/>
    <w:rsid w:val="00AB675D"/>
    <w:rsid w:val="00AC2D5B"/>
    <w:rsid w:val="00AC4BCA"/>
    <w:rsid w:val="00AE5600"/>
    <w:rsid w:val="00B00506"/>
    <w:rsid w:val="00B3248D"/>
    <w:rsid w:val="00B334C7"/>
    <w:rsid w:val="00B448FE"/>
    <w:rsid w:val="00B753F0"/>
    <w:rsid w:val="00BD4951"/>
    <w:rsid w:val="00BE1DA8"/>
    <w:rsid w:val="00BF64FA"/>
    <w:rsid w:val="00C0514F"/>
    <w:rsid w:val="00C54C5D"/>
    <w:rsid w:val="00C54D76"/>
    <w:rsid w:val="00C96ED7"/>
    <w:rsid w:val="00CA4AAA"/>
    <w:rsid w:val="00CB1B78"/>
    <w:rsid w:val="00CE65F1"/>
    <w:rsid w:val="00CF0521"/>
    <w:rsid w:val="00D1085D"/>
    <w:rsid w:val="00D23419"/>
    <w:rsid w:val="00D41726"/>
    <w:rsid w:val="00D46C1A"/>
    <w:rsid w:val="00D80180"/>
    <w:rsid w:val="00DA15A0"/>
    <w:rsid w:val="00E24F20"/>
    <w:rsid w:val="00E33200"/>
    <w:rsid w:val="00E51393"/>
    <w:rsid w:val="00E517A0"/>
    <w:rsid w:val="00E53503"/>
    <w:rsid w:val="00E559A0"/>
    <w:rsid w:val="00E8763D"/>
    <w:rsid w:val="00E97955"/>
    <w:rsid w:val="00ED2799"/>
    <w:rsid w:val="00EE1983"/>
    <w:rsid w:val="00EE45C2"/>
    <w:rsid w:val="00EF2EB8"/>
    <w:rsid w:val="00F00029"/>
    <w:rsid w:val="00F359A2"/>
    <w:rsid w:val="00F379A4"/>
    <w:rsid w:val="00F46DA3"/>
    <w:rsid w:val="00F5758F"/>
    <w:rsid w:val="00F771EC"/>
    <w:rsid w:val="00F9292F"/>
    <w:rsid w:val="00FA2A6C"/>
    <w:rsid w:val="00FF32C6"/>
    <w:rsid w:val="01051923"/>
    <w:rsid w:val="014D6DB0"/>
    <w:rsid w:val="020E2058"/>
    <w:rsid w:val="02F20765"/>
    <w:rsid w:val="05451EB3"/>
    <w:rsid w:val="088B152D"/>
    <w:rsid w:val="0A15388A"/>
    <w:rsid w:val="0A801619"/>
    <w:rsid w:val="0B4E3F65"/>
    <w:rsid w:val="0B6039B7"/>
    <w:rsid w:val="0F112F78"/>
    <w:rsid w:val="0FAE421B"/>
    <w:rsid w:val="117609D2"/>
    <w:rsid w:val="11CF4E54"/>
    <w:rsid w:val="12986D0C"/>
    <w:rsid w:val="14B74989"/>
    <w:rsid w:val="14D40092"/>
    <w:rsid w:val="161404C8"/>
    <w:rsid w:val="19DD4C7B"/>
    <w:rsid w:val="1D7E65F7"/>
    <w:rsid w:val="1EF3079A"/>
    <w:rsid w:val="201072E6"/>
    <w:rsid w:val="20DC2717"/>
    <w:rsid w:val="25AE5397"/>
    <w:rsid w:val="268D24CB"/>
    <w:rsid w:val="29303854"/>
    <w:rsid w:val="29AF6870"/>
    <w:rsid w:val="2B575927"/>
    <w:rsid w:val="2BBE1C42"/>
    <w:rsid w:val="2EE86C81"/>
    <w:rsid w:val="2F5E4850"/>
    <w:rsid w:val="2F6105E2"/>
    <w:rsid w:val="301431A4"/>
    <w:rsid w:val="32CE4A68"/>
    <w:rsid w:val="34E55D8C"/>
    <w:rsid w:val="35F63798"/>
    <w:rsid w:val="39137E32"/>
    <w:rsid w:val="3BB2617C"/>
    <w:rsid w:val="3C1E6B30"/>
    <w:rsid w:val="3C7A7D77"/>
    <w:rsid w:val="3D681FCA"/>
    <w:rsid w:val="3F790AB1"/>
    <w:rsid w:val="422A6C69"/>
    <w:rsid w:val="42BD6AF9"/>
    <w:rsid w:val="43166D1E"/>
    <w:rsid w:val="4413593C"/>
    <w:rsid w:val="45142F76"/>
    <w:rsid w:val="47752ACA"/>
    <w:rsid w:val="4B7C61E8"/>
    <w:rsid w:val="4BB133B0"/>
    <w:rsid w:val="4BD71D7A"/>
    <w:rsid w:val="4BDA0780"/>
    <w:rsid w:val="4D1362AD"/>
    <w:rsid w:val="4DA76772"/>
    <w:rsid w:val="4DE26C52"/>
    <w:rsid w:val="4EE90FF5"/>
    <w:rsid w:val="51023F76"/>
    <w:rsid w:val="52DA1864"/>
    <w:rsid w:val="557931CB"/>
    <w:rsid w:val="561455C8"/>
    <w:rsid w:val="58556DFB"/>
    <w:rsid w:val="58AB26D0"/>
    <w:rsid w:val="59BD0EED"/>
    <w:rsid w:val="5A804E07"/>
    <w:rsid w:val="5AA708CA"/>
    <w:rsid w:val="5C207A00"/>
    <w:rsid w:val="5C876F30"/>
    <w:rsid w:val="5DB239C4"/>
    <w:rsid w:val="5DD43000"/>
    <w:rsid w:val="5E93273A"/>
    <w:rsid w:val="606D5E87"/>
    <w:rsid w:val="6190049D"/>
    <w:rsid w:val="63217DF0"/>
    <w:rsid w:val="65381E48"/>
    <w:rsid w:val="665E3B13"/>
    <w:rsid w:val="66E24AD6"/>
    <w:rsid w:val="67625593"/>
    <w:rsid w:val="68C11AE9"/>
    <w:rsid w:val="69482CC7"/>
    <w:rsid w:val="6A075683"/>
    <w:rsid w:val="6A767EB5"/>
    <w:rsid w:val="6BC94077"/>
    <w:rsid w:val="6F5C2C41"/>
    <w:rsid w:val="6F614ECB"/>
    <w:rsid w:val="72A65BF3"/>
    <w:rsid w:val="73531F71"/>
    <w:rsid w:val="74AB2169"/>
    <w:rsid w:val="74BB4445"/>
    <w:rsid w:val="755B2C17"/>
    <w:rsid w:val="76C4253E"/>
    <w:rsid w:val="786B7B37"/>
    <w:rsid w:val="78D0511F"/>
    <w:rsid w:val="7AE067A6"/>
    <w:rsid w:val="7BA62000"/>
    <w:rsid w:val="7ECC5E29"/>
    <w:rsid w:val="7F5F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annotation text"/>
    <w:basedOn w:val="1"/>
    <w:link w:val="16"/>
    <w:qFormat/>
    <w:uiPriority w:val="99"/>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3"/>
    <w:next w:val="3"/>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qFormat/>
    <w:uiPriority w:val="0"/>
    <w:rPr>
      <w:sz w:val="21"/>
      <w:szCs w:val="21"/>
    </w:rPr>
  </w:style>
  <w:style w:type="character" w:customStyle="1" w:styleId="16">
    <w:name w:val="批注文字 字符"/>
    <w:basedOn w:val="10"/>
    <w:link w:val="3"/>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0"/>
    <w:link w:val="5"/>
    <w:qFormat/>
    <w:uiPriority w:val="0"/>
    <w:rPr>
      <w:rFonts w:asciiTheme="minorHAnsi" w:hAnsiTheme="minorHAnsi" w:eastAsiaTheme="minorEastAsia" w:cstheme="minorBidi"/>
      <w:kern w:val="2"/>
      <w:sz w:val="18"/>
      <w:szCs w:val="18"/>
    </w:rPr>
  </w:style>
  <w:style w:type="character" w:customStyle="1" w:styleId="20">
    <w:name w:val="页脚 字符"/>
    <w:basedOn w:val="10"/>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paragraph" w:customStyle="1" w:styleId="23">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4">
    <w:name w:val="条款正文"/>
    <w:basedOn w:val="1"/>
    <w:qFormat/>
    <w:uiPriority w:val="0"/>
    <w:pPr>
      <w:adjustRightInd w:val="0"/>
      <w:snapToGrid w:val="0"/>
      <w:ind w:left="840" w:leftChars="400"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1056</Words>
  <Characters>6025</Characters>
  <Lines>50</Lines>
  <Paragraphs>14</Paragraphs>
  <TotalTime>1</TotalTime>
  <ScaleCrop>false</ScaleCrop>
  <LinksUpToDate>false</LinksUpToDate>
  <CharactersWithSpaces>7067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wangxiaodan_kzx</cp:lastModifiedBy>
  <dcterms:modified xsi:type="dcterms:W3CDTF">2023-09-28T07:52:49Z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3CA4F52F4036409EB72B74C4E358F264</vt:lpwstr>
  </property>
</Properties>
</file>